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heading 1"/>
        <w:keepNext w:val="0"/>
        <w:keepLines w:val="0"/>
        <w:spacing w:line="384" w:before="0" w:after="0" w:lineRule="auto"/>
        <w:jc w:val="center"/>
      </w:pPr>
      <w:bookmarkStart w:id="0" w:name="_xh77ox78dvip"/>
      <w:bookmarkEnd w:id="0"/>
      <w:r>
        <w:rPr>
          <w:b w:val="1"/>
          <w:bCs w:val="1"/>
          <w:sz w:val="24"/>
          <w:szCs w:val="24"/>
          <w:rtl w:val="0"/>
          <w:lang w:val="pt-PT"/>
        </w:rPr>
        <w:t>C</w:t>
      </w:r>
      <w:r>
        <w:rPr>
          <w:b w:val="1"/>
          <w:bCs w:val="1"/>
          <w:sz w:val="24"/>
          <w:szCs w:val="24"/>
          <w:rtl w:val="0"/>
          <w:lang w:val="pt-PT"/>
        </w:rPr>
        <w:t>ARACTERIZA</w:t>
      </w:r>
      <w:r>
        <w:rPr>
          <w:b w:val="1"/>
          <w:bCs w:val="1"/>
          <w:sz w:val="24"/>
          <w:szCs w:val="24"/>
          <w:rtl w:val="0"/>
          <w:lang w:val="pt-PT"/>
        </w:rPr>
        <w:t>ÇÃ</w:t>
      </w:r>
      <w:r>
        <w:rPr>
          <w:b w:val="1"/>
          <w:bCs w:val="1"/>
          <w:sz w:val="24"/>
          <w:szCs w:val="24"/>
          <w:rtl w:val="0"/>
          <w:lang w:val="pt-PT"/>
        </w:rPr>
        <w:t>O DO CICLO REPRODUTIVO DE F</w:t>
      </w:r>
      <w:r>
        <w:rPr>
          <w:b w:val="1"/>
          <w:bCs w:val="1"/>
          <w:sz w:val="24"/>
          <w:szCs w:val="24"/>
          <w:rtl w:val="0"/>
          <w:lang w:val="pt-PT"/>
        </w:rPr>
        <w:t>Ê</w:t>
      </w:r>
      <w:r>
        <w:rPr>
          <w:b w:val="1"/>
          <w:bCs w:val="1"/>
          <w:sz w:val="24"/>
          <w:szCs w:val="24"/>
          <w:rtl w:val="0"/>
          <w:lang w:val="pt-PT"/>
        </w:rPr>
        <w:t>MEAS DE TAMANDU</w:t>
      </w:r>
      <w:r>
        <w:rPr>
          <w:b w:val="1"/>
          <w:bCs w:val="1"/>
          <w:sz w:val="24"/>
          <w:szCs w:val="24"/>
          <w:rtl w:val="0"/>
          <w:lang w:val="pt-PT"/>
        </w:rPr>
        <w:t>Á</w:t>
      </w:r>
      <w:r>
        <w:rPr>
          <w:b w:val="1"/>
          <w:bCs w:val="1"/>
          <w:sz w:val="24"/>
          <w:szCs w:val="24"/>
          <w:rtl w:val="0"/>
          <w:lang w:val="pt-PT"/>
        </w:rPr>
        <w:t>-BANDEIRA EM AMBIENTE NATURAL</w:t>
      </w:r>
    </w:p>
    <w:p>
      <w:pPr>
        <w:pStyle w:val="Corpo"/>
        <w:jc w:val="center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shd w:val="clear" w:color="auto" w:fill="ffffff"/>
          <w:rtl w:val="0"/>
          <w:lang w:val="en-US"/>
        </w:rPr>
        <w:t>Characterization of the reproductive cycle of female giant anteaters in the wild</w:t>
      </w:r>
    </w:p>
    <w:p>
      <w:pPr>
        <w:pStyle w:val="Corpo"/>
        <w:spacing w:line="240" w:lineRule="auto"/>
        <w:jc w:val="center"/>
        <w:rPr>
          <w:sz w:val="24"/>
          <w:szCs w:val="24"/>
        </w:rPr>
      </w:pPr>
    </w:p>
    <w:p>
      <w:pPr>
        <w:pStyle w:val="Corpo"/>
        <w:spacing w:line="240" w:lineRule="auto"/>
        <w:jc w:val="center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  <w:rtl w:val="0"/>
          <w:lang w:val="it-IT"/>
        </w:rPr>
        <w:t>Grazielle Soresini</w:t>
      </w:r>
      <w:r>
        <w:rPr>
          <w:sz w:val="24"/>
          <w:szCs w:val="24"/>
          <w:vertAlign w:val="superscript"/>
          <w:rtl w:val="0"/>
        </w:rPr>
        <w:t>1*</w:t>
      </w:r>
      <w:r>
        <w:rPr>
          <w:sz w:val="24"/>
          <w:szCs w:val="24"/>
          <w:rtl w:val="0"/>
        </w:rPr>
        <w:t xml:space="preserve">, </w:t>
      </w:r>
      <w:r>
        <w:rPr>
          <w:sz w:val="24"/>
          <w:szCs w:val="24"/>
          <w:shd w:val="clear" w:color="auto" w:fill="ffffff"/>
          <w:rtl w:val="0"/>
          <w:lang w:val="it-IT"/>
        </w:rPr>
        <w:t>Ana Carolina M</w:t>
      </w:r>
      <w:r>
        <w:rPr>
          <w:sz w:val="24"/>
          <w:szCs w:val="24"/>
          <w:shd w:val="clear" w:color="auto" w:fill="ffffff"/>
          <w:rtl w:val="0"/>
          <w:lang w:val="pt-PT"/>
        </w:rPr>
        <w:t>.</w:t>
      </w:r>
      <w:r>
        <w:rPr>
          <w:sz w:val="24"/>
          <w:szCs w:val="24"/>
          <w:shd w:val="clear" w:color="auto" w:fill="ffffff"/>
          <w:rtl w:val="0"/>
        </w:rPr>
        <w:t xml:space="preserve"> Lobo</w:t>
      </w:r>
      <w:r>
        <w:rPr>
          <w:sz w:val="24"/>
          <w:szCs w:val="24"/>
          <w:vertAlign w:val="superscript"/>
          <w:rtl w:val="0"/>
        </w:rPr>
        <w:t>2</w:t>
      </w:r>
      <w:r>
        <w:rPr>
          <w:sz w:val="24"/>
          <w:szCs w:val="24"/>
          <w:rtl w:val="0"/>
        </w:rPr>
        <w:t xml:space="preserve">, </w:t>
      </w:r>
      <w:r>
        <w:rPr>
          <w:sz w:val="24"/>
          <w:szCs w:val="24"/>
          <w:shd w:val="clear" w:color="auto" w:fill="ffffff"/>
          <w:rtl w:val="0"/>
          <w:lang w:val="pt-PT"/>
        </w:rPr>
        <w:t>Mario Henrique Alves</w:t>
      </w:r>
      <w:r>
        <w:rPr>
          <w:sz w:val="24"/>
          <w:szCs w:val="24"/>
          <w:vertAlign w:val="superscript"/>
          <w:rtl w:val="0"/>
        </w:rPr>
        <w:t>1,3</w:t>
      </w:r>
      <w:r>
        <w:rPr>
          <w:sz w:val="24"/>
          <w:szCs w:val="24"/>
          <w:rtl w:val="0"/>
        </w:rPr>
        <w:t xml:space="preserve">, </w:t>
      </w:r>
      <w:r>
        <w:rPr>
          <w:sz w:val="24"/>
          <w:szCs w:val="24"/>
          <w:shd w:val="clear" w:color="auto" w:fill="ffffff"/>
          <w:rtl w:val="0"/>
          <w:lang w:val="es-ES_tradnl"/>
        </w:rPr>
        <w:t>Pablo Dutra</w:t>
      </w:r>
      <w:r>
        <w:rPr>
          <w:sz w:val="24"/>
          <w:szCs w:val="24"/>
          <w:vertAlign w:val="superscript"/>
          <w:rtl w:val="0"/>
        </w:rPr>
        <w:t>1</w:t>
      </w:r>
      <w:r>
        <w:rPr>
          <w:sz w:val="24"/>
          <w:szCs w:val="24"/>
          <w:shd w:val="clear" w:color="auto" w:fill="ffffff"/>
          <w:rtl w:val="0"/>
        </w:rPr>
        <w:t>, D</w:t>
      </w:r>
      <w:r>
        <w:rPr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sz w:val="24"/>
          <w:szCs w:val="24"/>
          <w:shd w:val="clear" w:color="auto" w:fill="ffffff"/>
          <w:rtl w:val="0"/>
          <w:lang w:val="it-IT"/>
        </w:rPr>
        <w:t>bora Quintino</w:t>
      </w:r>
      <w:r>
        <w:rPr>
          <w:sz w:val="24"/>
          <w:szCs w:val="24"/>
          <w:vertAlign w:val="superscript"/>
          <w:rtl w:val="0"/>
        </w:rPr>
        <w:t>1</w:t>
      </w:r>
      <w:r>
        <w:rPr>
          <w:sz w:val="24"/>
          <w:szCs w:val="24"/>
          <w:shd w:val="clear" w:color="auto" w:fill="ffffff"/>
          <w:rtl w:val="0"/>
          <w:lang w:val="fr-FR"/>
        </w:rPr>
        <w:t>, Arnaud Desbiez</w:t>
      </w:r>
      <w:r>
        <w:rPr>
          <w:sz w:val="24"/>
          <w:szCs w:val="24"/>
          <w:vertAlign w:val="superscript"/>
          <w:rtl w:val="0"/>
        </w:rPr>
        <w:t>1</w:t>
      </w:r>
      <w:r>
        <w:rPr>
          <w:sz w:val="24"/>
          <w:szCs w:val="24"/>
          <w:shd w:val="clear" w:color="auto" w:fill="ffffff"/>
          <w:rtl w:val="0"/>
        </w:rPr>
        <w:t>, Rog</w:t>
      </w:r>
      <w:r>
        <w:rPr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sz w:val="24"/>
          <w:szCs w:val="24"/>
          <w:shd w:val="clear" w:color="auto" w:fill="ffffff"/>
          <w:rtl w:val="0"/>
          <w:lang w:val="pt-PT"/>
        </w:rPr>
        <w:t>rio A. de Oliveira</w:t>
      </w:r>
      <w:r>
        <w:rPr>
          <w:sz w:val="24"/>
          <w:szCs w:val="24"/>
          <w:shd w:val="clear" w:color="auto" w:fill="ffffff"/>
          <w:vertAlign w:val="superscript"/>
          <w:rtl w:val="0"/>
        </w:rPr>
        <w:t>4</w:t>
      </w:r>
      <w:r>
        <w:rPr>
          <w:sz w:val="24"/>
          <w:szCs w:val="24"/>
          <w:shd w:val="clear" w:color="auto" w:fill="ffffff"/>
          <w:rtl w:val="0"/>
        </w:rPr>
        <w:t>, Eunice Oba</w:t>
      </w:r>
      <w:r>
        <w:rPr>
          <w:sz w:val="24"/>
          <w:szCs w:val="24"/>
          <w:vertAlign w:val="superscript"/>
          <w:rtl w:val="0"/>
        </w:rPr>
        <w:t>2</w:t>
      </w:r>
    </w:p>
    <w:p>
      <w:pPr>
        <w:pStyle w:val="Corpo"/>
        <w:spacing w:line="240" w:lineRule="auto"/>
        <w:rPr>
          <w:sz w:val="24"/>
          <w:szCs w:val="24"/>
        </w:rPr>
      </w:pPr>
    </w:p>
    <w:p>
      <w:pPr>
        <w:pStyle w:val="Corpo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  <w:vertAlign w:val="superscript"/>
          <w:rtl w:val="0"/>
        </w:rPr>
        <w:t>1</w:t>
      </w:r>
      <w:r>
        <w:rPr>
          <w:sz w:val="24"/>
          <w:szCs w:val="24"/>
          <w:shd w:val="clear" w:color="auto" w:fill="ffffff"/>
          <w:rtl w:val="0"/>
          <w:lang w:val="pt-PT"/>
        </w:rPr>
        <w:t>Instituto de Conserva</w:t>
      </w:r>
      <w:r>
        <w:rPr>
          <w:sz w:val="24"/>
          <w:szCs w:val="24"/>
          <w:shd w:val="clear" w:color="auto" w:fill="ffffff"/>
          <w:rtl w:val="0"/>
          <w:lang w:val="pt-PT"/>
        </w:rPr>
        <w:t>çã</w:t>
      </w:r>
      <w:r>
        <w:rPr>
          <w:sz w:val="24"/>
          <w:szCs w:val="24"/>
          <w:shd w:val="clear" w:color="auto" w:fill="ffffff"/>
          <w:rtl w:val="0"/>
          <w:lang w:val="pt-PT"/>
        </w:rPr>
        <w:t>o de Animais Silvestres</w:t>
      </w:r>
      <w:r>
        <w:rPr>
          <w:sz w:val="24"/>
          <w:szCs w:val="24"/>
          <w:shd w:val="clear" w:color="auto" w:fill="ffffff"/>
          <w:rtl w:val="0"/>
          <w:lang w:val="pt-PT"/>
        </w:rPr>
        <w:t xml:space="preserve"> (I</w:t>
      </w:r>
      <w:r>
        <w:rPr>
          <w:sz w:val="24"/>
          <w:szCs w:val="24"/>
          <w:shd w:val="clear" w:color="auto" w:fill="ffffff"/>
          <w:rtl w:val="0"/>
        </w:rPr>
        <w:t>CAS</w:t>
      </w:r>
      <w:r>
        <w:rPr>
          <w:sz w:val="24"/>
          <w:szCs w:val="24"/>
          <w:shd w:val="clear" w:color="auto" w:fill="ffffff"/>
          <w:rtl w:val="0"/>
          <w:lang w:val="pt-PT"/>
        </w:rPr>
        <w:t>)</w:t>
      </w:r>
      <w:r>
        <w:rPr>
          <w:sz w:val="24"/>
          <w:szCs w:val="24"/>
          <w:shd w:val="clear" w:color="auto" w:fill="ffffff"/>
          <w:rtl w:val="0"/>
          <w:lang w:val="pt-PT"/>
        </w:rPr>
        <w:t>, Campo Grande, Mato Grosso do Sul, Brasil</w:t>
      </w:r>
      <w:r>
        <w:rPr>
          <w:sz w:val="24"/>
          <w:szCs w:val="24"/>
          <w:shd w:val="clear" w:color="auto" w:fill="ffffff"/>
          <w:rtl w:val="0"/>
          <w:lang w:val="pt-PT"/>
        </w:rPr>
        <w:t>.</w:t>
      </w:r>
    </w:p>
    <w:p>
      <w:pPr>
        <w:pStyle w:val="Corpo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  <w:vertAlign w:val="superscript"/>
          <w:rtl w:val="0"/>
        </w:rPr>
        <w:t>2</w:t>
      </w:r>
      <w:r>
        <w:rPr>
          <w:sz w:val="24"/>
          <w:szCs w:val="24"/>
          <w:rtl w:val="0"/>
          <w:lang w:val="pt-PT"/>
        </w:rPr>
        <w:t>Faculdade de Medicina Veterin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  <w:lang w:val="it-IT"/>
        </w:rPr>
        <w:t>ria e Zootecnia</w:t>
      </w:r>
      <w:r>
        <w:rPr>
          <w:sz w:val="24"/>
          <w:szCs w:val="24"/>
          <w:rtl w:val="0"/>
          <w:lang w:val="pt-PT"/>
        </w:rPr>
        <w:t>,</w:t>
      </w:r>
      <w:r>
        <w:rPr>
          <w:sz w:val="24"/>
          <w:szCs w:val="24"/>
          <w:rtl w:val="0"/>
          <w:lang w:val="pt-PT"/>
        </w:rPr>
        <w:t xml:space="preserve"> Universidade Estadual Paulista</w:t>
      </w:r>
      <w:r>
        <w:rPr>
          <w:sz w:val="24"/>
          <w:szCs w:val="24"/>
          <w:rtl w:val="0"/>
          <w:lang w:val="pt-PT"/>
        </w:rPr>
        <w:t>, Botucatu, S</w:t>
      </w:r>
      <w:r>
        <w:rPr>
          <w:sz w:val="24"/>
          <w:szCs w:val="24"/>
          <w:rtl w:val="0"/>
          <w:lang w:val="pt-PT"/>
        </w:rPr>
        <w:t>ã</w:t>
      </w:r>
      <w:r>
        <w:rPr>
          <w:sz w:val="24"/>
          <w:szCs w:val="24"/>
          <w:rtl w:val="0"/>
          <w:lang w:val="pt-PT"/>
        </w:rPr>
        <w:t>o Paulo, Brasil.</w:t>
      </w:r>
    </w:p>
    <w:p>
      <w:pPr>
        <w:pStyle w:val="Corpo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  <w:vertAlign w:val="superscript"/>
          <w:rtl w:val="0"/>
        </w:rPr>
        <w:t>3</w:t>
      </w:r>
      <w:r>
        <w:rPr>
          <w:sz w:val="24"/>
          <w:szCs w:val="24"/>
          <w:shd w:val="clear" w:color="auto" w:fill="ffffff"/>
          <w:rtl w:val="0"/>
        </w:rPr>
        <w:t>Universit</w:t>
      </w:r>
      <w:r>
        <w:rPr>
          <w:sz w:val="24"/>
          <w:szCs w:val="24"/>
          <w:shd w:val="clear" w:color="auto" w:fill="ffffff"/>
          <w:rtl w:val="0"/>
        </w:rPr>
        <w:t xml:space="preserve">à </w:t>
      </w:r>
      <w:r>
        <w:rPr>
          <w:sz w:val="24"/>
          <w:szCs w:val="24"/>
          <w:shd w:val="clear" w:color="auto" w:fill="ffffff"/>
          <w:rtl w:val="0"/>
          <w:lang w:val="it-IT"/>
        </w:rPr>
        <w:t xml:space="preserve">degli Studi di Bari, </w:t>
      </w:r>
      <w:r>
        <w:rPr>
          <w:sz w:val="24"/>
          <w:szCs w:val="24"/>
          <w:shd w:val="clear" w:color="auto" w:fill="ffffff"/>
          <w:rtl w:val="0"/>
          <w:lang w:val="pt-PT"/>
        </w:rPr>
        <w:t xml:space="preserve">Bari, </w:t>
      </w:r>
      <w:r>
        <w:rPr>
          <w:sz w:val="24"/>
          <w:szCs w:val="24"/>
          <w:shd w:val="clear" w:color="auto" w:fill="ffffff"/>
          <w:rtl w:val="0"/>
          <w:lang w:val="it-IT"/>
        </w:rPr>
        <w:t>Italia</w:t>
      </w:r>
      <w:r>
        <w:rPr>
          <w:sz w:val="24"/>
          <w:szCs w:val="24"/>
          <w:shd w:val="clear" w:color="auto" w:fill="ffffff"/>
          <w:rtl w:val="0"/>
          <w:lang w:val="pt-PT"/>
        </w:rPr>
        <w:t>.</w:t>
      </w:r>
    </w:p>
    <w:p>
      <w:pPr>
        <w:pStyle w:val="Corpo"/>
        <w:spacing w:line="240" w:lineRule="auto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  <w:vertAlign w:val="superscript"/>
          <w:rtl w:val="0"/>
        </w:rPr>
        <w:t>4</w:t>
      </w:r>
      <w:r>
        <w:rPr>
          <w:sz w:val="24"/>
          <w:szCs w:val="24"/>
          <w:shd w:val="clear" w:color="auto" w:fill="ffffff"/>
          <w:rtl w:val="0"/>
          <w:lang w:val="pt-PT"/>
        </w:rPr>
        <w:t>Instituto de Bioci</w:t>
      </w:r>
      <w:r>
        <w:rPr>
          <w:sz w:val="24"/>
          <w:szCs w:val="24"/>
          <w:shd w:val="clear" w:color="auto" w:fill="ffffff"/>
          <w:rtl w:val="0"/>
        </w:rPr>
        <w:t>ê</w:t>
      </w:r>
      <w:r>
        <w:rPr>
          <w:sz w:val="24"/>
          <w:szCs w:val="24"/>
          <w:shd w:val="clear" w:color="auto" w:fill="ffffff"/>
          <w:rtl w:val="0"/>
          <w:lang w:val="pt-PT"/>
        </w:rPr>
        <w:t>ncias</w:t>
      </w:r>
      <w:r>
        <w:rPr>
          <w:sz w:val="24"/>
          <w:szCs w:val="24"/>
          <w:shd w:val="clear" w:color="auto" w:fill="ffffff"/>
          <w:rtl w:val="0"/>
          <w:lang w:val="pt-PT"/>
        </w:rPr>
        <w:t>,</w:t>
      </w:r>
      <w:r>
        <w:rPr>
          <w:sz w:val="24"/>
          <w:szCs w:val="24"/>
          <w:shd w:val="clear" w:color="auto" w:fill="ffffff"/>
          <w:rtl w:val="0"/>
          <w:lang w:val="pt-PT"/>
        </w:rPr>
        <w:t xml:space="preserve"> Universidade Estadual Paulista</w:t>
      </w:r>
      <w:r>
        <w:rPr>
          <w:sz w:val="24"/>
          <w:szCs w:val="24"/>
          <w:shd w:val="clear" w:color="auto" w:fill="ffffff"/>
          <w:rtl w:val="0"/>
          <w:lang w:val="pt-PT"/>
        </w:rPr>
        <w:t>, Botucatu, S</w:t>
      </w:r>
      <w:r>
        <w:rPr>
          <w:sz w:val="24"/>
          <w:szCs w:val="24"/>
          <w:shd w:val="clear" w:color="auto" w:fill="ffffff"/>
          <w:rtl w:val="0"/>
          <w:lang w:val="pt-PT"/>
        </w:rPr>
        <w:t>ã</w:t>
      </w:r>
      <w:r>
        <w:rPr>
          <w:sz w:val="24"/>
          <w:szCs w:val="24"/>
          <w:shd w:val="clear" w:color="auto" w:fill="ffffff"/>
          <w:rtl w:val="0"/>
          <w:lang w:val="pt-PT"/>
        </w:rPr>
        <w:t>o Paulo, Brasil.</w:t>
      </w:r>
    </w:p>
    <w:p>
      <w:pPr>
        <w:pStyle w:val="Corpo"/>
        <w:spacing w:line="240" w:lineRule="auto"/>
        <w:jc w:val="both"/>
        <w:rPr>
          <w:sz w:val="21"/>
          <w:szCs w:val="21"/>
          <w:shd w:val="clear" w:color="auto" w:fill="ffffff"/>
        </w:rPr>
      </w:pPr>
    </w:p>
    <w:p>
      <w:pPr>
        <w:pStyle w:val="Corpo"/>
        <w:spacing w:line="240" w:lineRule="auto"/>
        <w:rPr>
          <w:sz w:val="24"/>
          <w:szCs w:val="24"/>
        </w:rPr>
      </w:pPr>
      <w:r>
        <w:rPr>
          <w:sz w:val="24"/>
          <w:szCs w:val="24"/>
          <w:rtl w:val="0"/>
          <w:lang w:val="pt-PT"/>
        </w:rPr>
        <w:t>*Email do autor correspondente: grasoresini@gmail.com</w:t>
      </w:r>
    </w:p>
    <w:p>
      <w:pPr>
        <w:pStyle w:val="Corpo"/>
        <w:spacing w:line="240" w:lineRule="auto"/>
        <w:rPr>
          <w:sz w:val="24"/>
          <w:szCs w:val="24"/>
        </w:rPr>
      </w:pPr>
    </w:p>
    <w:p>
      <w:pPr>
        <w:pStyle w:val="Corpo"/>
        <w:jc w:val="both"/>
        <w:rPr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it-IT"/>
        </w:rPr>
        <w:t>Introdu</w:t>
      </w:r>
      <w:r>
        <w:rPr>
          <w:b w:val="1"/>
          <w:bCs w:val="1"/>
          <w:sz w:val="24"/>
          <w:szCs w:val="24"/>
          <w:rtl w:val="0"/>
          <w:lang w:val="pt-PT"/>
        </w:rPr>
        <w:t>çã</w:t>
      </w:r>
      <w:r>
        <w:rPr>
          <w:b w:val="1"/>
          <w:bCs w:val="1"/>
          <w:sz w:val="24"/>
          <w:szCs w:val="24"/>
          <w:rtl w:val="0"/>
        </w:rPr>
        <w:t>o</w:t>
      </w:r>
      <w:r>
        <w:rPr>
          <w:sz w:val="24"/>
          <w:szCs w:val="24"/>
          <w:rtl w:val="0"/>
        </w:rPr>
        <w:t>: O tamandu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  <w:lang w:val="pt-PT"/>
        </w:rPr>
        <w:t>-bandeira (</w:t>
      </w:r>
      <w:r>
        <w:rPr>
          <w:i w:val="1"/>
          <w:iCs w:val="1"/>
          <w:sz w:val="24"/>
          <w:szCs w:val="24"/>
          <w:rtl w:val="0"/>
          <w:lang w:val="en-US"/>
        </w:rPr>
        <w:t>Myrmecophaga tridactyla</w:t>
      </w:r>
      <w:r>
        <w:rPr>
          <w:sz w:val="24"/>
          <w:szCs w:val="24"/>
          <w:rtl w:val="0"/>
        </w:rPr>
        <w:t xml:space="preserve">) </w:t>
      </w:r>
      <w:r>
        <w:rPr>
          <w:sz w:val="24"/>
          <w:szCs w:val="24"/>
          <w:rtl w:val="0"/>
          <w:lang w:val="fr-FR"/>
        </w:rPr>
        <w:t xml:space="preserve">é </w:t>
      </w:r>
      <w:r>
        <w:rPr>
          <w:sz w:val="24"/>
          <w:szCs w:val="24"/>
          <w:rtl w:val="0"/>
          <w:lang w:val="pt-PT"/>
        </w:rPr>
        <w:t>um mam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  <w:lang w:val="pt-PT"/>
        </w:rPr>
        <w:t>fero emblem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  <w:lang w:val="pt-PT"/>
        </w:rPr>
        <w:t>tico da Am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  <w:lang w:val="pt-PT"/>
        </w:rPr>
        <w:t>rica do Sul, caracterizado por baixa taxa reprodutiva, tendo geralmente um filhote por ano ap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de-DE"/>
        </w:rPr>
        <w:t>s gesta</w:t>
      </w:r>
      <w:r>
        <w:rPr>
          <w:sz w:val="24"/>
          <w:szCs w:val="24"/>
          <w:rtl w:val="0"/>
          <w:lang w:val="pt-PT"/>
        </w:rPr>
        <w:t>çã</w:t>
      </w:r>
      <w:r>
        <w:rPr>
          <w:sz w:val="24"/>
          <w:szCs w:val="24"/>
          <w:rtl w:val="0"/>
          <w:lang w:val="pt-PT"/>
        </w:rPr>
        <w:t>o de aproximadamente 180 dias. As f</w:t>
      </w:r>
      <w:r>
        <w:rPr>
          <w:sz w:val="24"/>
          <w:szCs w:val="24"/>
          <w:rtl w:val="0"/>
        </w:rPr>
        <w:t>ê</w:t>
      </w:r>
      <w:r>
        <w:rPr>
          <w:sz w:val="24"/>
          <w:szCs w:val="24"/>
          <w:rtl w:val="0"/>
          <w:lang w:val="en-US"/>
        </w:rPr>
        <w:t>meas s</w:t>
      </w:r>
      <w:r>
        <w:rPr>
          <w:sz w:val="24"/>
          <w:szCs w:val="24"/>
          <w:rtl w:val="0"/>
          <w:lang w:val="pt-PT"/>
        </w:rPr>
        <w:t>ã</w:t>
      </w:r>
      <w:r>
        <w:rPr>
          <w:sz w:val="24"/>
          <w:szCs w:val="24"/>
          <w:rtl w:val="0"/>
          <w:lang w:val="es-ES_tradnl"/>
        </w:rPr>
        <w:t>o poli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  <w:lang w:val="pt-PT"/>
        </w:rPr>
        <w:t>stricas n</w:t>
      </w:r>
      <w:r>
        <w:rPr>
          <w:sz w:val="24"/>
          <w:szCs w:val="24"/>
          <w:rtl w:val="0"/>
          <w:lang w:val="pt-PT"/>
        </w:rPr>
        <w:t>ã</w:t>
      </w:r>
      <w:r>
        <w:rPr>
          <w:sz w:val="24"/>
          <w:szCs w:val="24"/>
          <w:rtl w:val="0"/>
          <w:lang w:val="pt-PT"/>
        </w:rPr>
        <w:t>o sazonais, com sinais de estro pouco evidentes (1), e maturidade sexual estimada por volta dos tr</w:t>
      </w:r>
      <w:r>
        <w:rPr>
          <w:sz w:val="24"/>
          <w:szCs w:val="24"/>
          <w:rtl w:val="0"/>
        </w:rPr>
        <w:t>ê</w:t>
      </w:r>
      <w:r>
        <w:rPr>
          <w:sz w:val="24"/>
          <w:szCs w:val="24"/>
          <w:rtl w:val="0"/>
          <w:lang w:val="pt-PT"/>
        </w:rPr>
        <w:t>s anos de idade (2). Estudos pr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  <w:lang w:val="pt-PT"/>
        </w:rPr>
        <w:t>vios com indiv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  <w:lang w:val="pt-PT"/>
        </w:rPr>
        <w:t>duos sob cuidados humanos indicam que o ciclo estral apresenta dura</w:t>
      </w:r>
      <w:r>
        <w:rPr>
          <w:sz w:val="24"/>
          <w:szCs w:val="24"/>
          <w:rtl w:val="0"/>
          <w:lang w:val="pt-PT"/>
        </w:rPr>
        <w:t>çã</w:t>
      </w:r>
      <w:r>
        <w:rPr>
          <w:sz w:val="24"/>
          <w:szCs w:val="24"/>
          <w:rtl w:val="0"/>
        </w:rPr>
        <w:t>o m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  <w:lang w:val="pt-PT"/>
        </w:rPr>
        <w:t>dia de 46 a 51 dias, com fases folicular e luteal seguidas por anestro (3,4). No entanto, aspectos fisiol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pt-PT"/>
        </w:rPr>
        <w:t>gicos e comportamentais da reprodu</w:t>
      </w:r>
      <w:r>
        <w:rPr>
          <w:sz w:val="24"/>
          <w:szCs w:val="24"/>
          <w:rtl w:val="0"/>
          <w:lang w:val="pt-PT"/>
        </w:rPr>
        <w:t>çã</w:t>
      </w:r>
      <w:r>
        <w:rPr>
          <w:sz w:val="24"/>
          <w:szCs w:val="24"/>
          <w:rtl w:val="0"/>
          <w:lang w:val="pt-PT"/>
        </w:rPr>
        <w:t>o em vida livre ainda s</w:t>
      </w:r>
      <w:r>
        <w:rPr>
          <w:sz w:val="24"/>
          <w:szCs w:val="24"/>
          <w:rtl w:val="0"/>
          <w:lang w:val="pt-PT"/>
        </w:rPr>
        <w:t>ã</w:t>
      </w:r>
      <w:r>
        <w:rPr>
          <w:sz w:val="24"/>
          <w:szCs w:val="24"/>
          <w:rtl w:val="0"/>
          <w:lang w:val="pt-PT"/>
        </w:rPr>
        <w:t>o pouco compreendidos. Este estudo teve como objetivo caracterizar aspectos morfol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pt-PT"/>
        </w:rPr>
        <w:t>gicos, citol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pt-PT"/>
        </w:rPr>
        <w:t>gicos, hormonais e microbiol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pt-PT"/>
        </w:rPr>
        <w:t>gicos do trato reprodutivo de f</w:t>
      </w:r>
      <w:r>
        <w:rPr>
          <w:sz w:val="24"/>
          <w:szCs w:val="24"/>
          <w:rtl w:val="0"/>
        </w:rPr>
        <w:t>ê</w:t>
      </w:r>
      <w:r>
        <w:rPr>
          <w:sz w:val="24"/>
          <w:szCs w:val="24"/>
          <w:rtl w:val="0"/>
          <w:lang w:val="pt-PT"/>
        </w:rPr>
        <w:t>meas de tamandu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  <w:lang w:val="pt-PT"/>
        </w:rPr>
        <w:t>-bandeira no Cerrado de Mato Grosso do Sul, Brasil.</w:t>
      </w:r>
    </w:p>
    <w:p>
      <w:pPr>
        <w:pStyle w:val="Corpo"/>
        <w:jc w:val="both"/>
        <w:rPr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pt-PT"/>
        </w:rPr>
        <w:t>Material e M</w:t>
      </w:r>
      <w:r>
        <w:rPr>
          <w:b w:val="1"/>
          <w:bCs w:val="1"/>
          <w:sz w:val="24"/>
          <w:szCs w:val="24"/>
          <w:rtl w:val="0"/>
          <w:lang w:val="fr-FR"/>
        </w:rPr>
        <w:t>é</w:t>
      </w:r>
      <w:r>
        <w:rPr>
          <w:b w:val="1"/>
          <w:bCs w:val="1"/>
          <w:sz w:val="24"/>
          <w:szCs w:val="24"/>
          <w:rtl w:val="0"/>
          <w:lang w:val="es-ES_tradnl"/>
        </w:rPr>
        <w:t>todos</w:t>
      </w:r>
      <w:r>
        <w:rPr>
          <w:sz w:val="24"/>
          <w:szCs w:val="24"/>
          <w:rtl w:val="0"/>
          <w:lang w:val="pt-PT"/>
        </w:rPr>
        <w:t>: Foram avaliadas 13 f</w:t>
      </w:r>
      <w:r>
        <w:rPr>
          <w:sz w:val="24"/>
          <w:szCs w:val="24"/>
          <w:rtl w:val="0"/>
        </w:rPr>
        <w:t>ê</w:t>
      </w:r>
      <w:r>
        <w:rPr>
          <w:sz w:val="24"/>
          <w:szCs w:val="24"/>
          <w:rtl w:val="0"/>
          <w:lang w:val="pt-PT"/>
        </w:rPr>
        <w:t>meas (9 adultas e 4 jovens), monitoradas por GPS telemetria e amostradas entre junho de 2024 e fevereiro de 2025. Os procedimentos foram autorizados pelo ICMBio/MMA (licen</w:t>
      </w:r>
      <w:r>
        <w:rPr>
          <w:sz w:val="24"/>
          <w:szCs w:val="24"/>
          <w:rtl w:val="0"/>
        </w:rPr>
        <w:t>ç</w:t>
      </w:r>
      <w:r>
        <w:rPr>
          <w:sz w:val="24"/>
          <w:szCs w:val="24"/>
          <w:rtl w:val="0"/>
          <w:lang w:val="pt-PT"/>
        </w:rPr>
        <w:t>a 53798) e aprovados pela Comiss</w:t>
      </w:r>
      <w:r>
        <w:rPr>
          <w:sz w:val="24"/>
          <w:szCs w:val="24"/>
          <w:rtl w:val="0"/>
          <w:lang w:val="pt-PT"/>
        </w:rPr>
        <w:t>ã</w:t>
      </w:r>
      <w:r>
        <w:rPr>
          <w:sz w:val="24"/>
          <w:szCs w:val="24"/>
          <w:rtl w:val="0"/>
          <w:lang w:val="pt-PT"/>
        </w:rPr>
        <w:t xml:space="preserve">o de 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  <w:lang w:val="pt-PT"/>
        </w:rPr>
        <w:t>tica de Uso Animal da UNESP (protocolo 528/2023). Para a colheita de amostras biol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pt-PT"/>
        </w:rPr>
        <w:t>gicas, os animais foram anestesiados por via intramuscular com tartarato de butorfanol (0,1 mg/kg), cloridrato de detomidina (0,1 mg/kg) e cloridrato de midazolam (0,2 mg/kg). Ao final, foram administrados cloridrato de naloxona (0,02 mg/kg), cloridrato de ioimbina (0,125 mg/kg) e flumazenil (0,01 mg/kg) por via intramuscular ou intravenosa (5). As an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  <w:lang w:val="fr-FR"/>
        </w:rPr>
        <w:t>lises inclu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  <w:lang w:val="it-IT"/>
        </w:rPr>
        <w:t>ram biometria da genit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  <w:lang w:val="pt-PT"/>
        </w:rPr>
        <w:t>lia externa, citologia vaginal, dosagens s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  <w:lang w:val="pt-PT"/>
        </w:rPr>
        <w:t>ricas de estradiol e progesterona, e cultura da microbiota vaginal. Os dados foram analisados por estat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  <w:lang w:val="pt-PT"/>
        </w:rPr>
        <w:t>stica descritiva e m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  <w:lang w:val="pt-PT"/>
        </w:rPr>
        <w:t>todos n</w:t>
      </w:r>
      <w:r>
        <w:rPr>
          <w:sz w:val="24"/>
          <w:szCs w:val="24"/>
          <w:rtl w:val="0"/>
          <w:lang w:val="pt-PT"/>
        </w:rPr>
        <w:t>ã</w:t>
      </w:r>
      <w:r>
        <w:rPr>
          <w:sz w:val="24"/>
          <w:szCs w:val="24"/>
          <w:rtl w:val="0"/>
          <w:lang w:val="pt-PT"/>
        </w:rPr>
        <w:t>o param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  <w:lang w:val="pt-PT"/>
        </w:rPr>
        <w:t>tricos (Wilcoxon, Kruskal-Wallis e correla</w:t>
      </w:r>
      <w:r>
        <w:rPr>
          <w:sz w:val="24"/>
          <w:szCs w:val="24"/>
          <w:rtl w:val="0"/>
          <w:lang w:val="pt-PT"/>
        </w:rPr>
        <w:t>çã</w:t>
      </w:r>
      <w:r>
        <w:rPr>
          <w:sz w:val="24"/>
          <w:szCs w:val="24"/>
          <w:rtl w:val="0"/>
          <w:lang w:val="pt-PT"/>
        </w:rPr>
        <w:t>o de Spearman), com n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  <w:lang w:val="pt-PT"/>
        </w:rPr>
        <w:t>vel de signific</w:t>
      </w:r>
      <w:r>
        <w:rPr>
          <w:sz w:val="24"/>
          <w:szCs w:val="24"/>
          <w:rtl w:val="0"/>
        </w:rPr>
        <w:t>â</w:t>
      </w:r>
      <w:r>
        <w:rPr>
          <w:sz w:val="24"/>
          <w:szCs w:val="24"/>
          <w:rtl w:val="0"/>
          <w:lang w:val="pt-PT"/>
        </w:rPr>
        <w:t>ncia de P &lt; 0,05</w:t>
      </w:r>
      <w:r>
        <w:rPr>
          <w:sz w:val="24"/>
          <w:szCs w:val="24"/>
          <w:rtl w:val="0"/>
          <w:lang w:val="pt-PT"/>
        </w:rPr>
        <w:t>.</w:t>
      </w:r>
    </w:p>
    <w:p>
      <w:pPr>
        <w:pStyle w:val="Corpo"/>
        <w:jc w:val="both"/>
        <w:rPr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pt-PT"/>
        </w:rPr>
        <w:t>Resultados</w:t>
      </w:r>
      <w:r>
        <w:rPr>
          <w:sz w:val="24"/>
          <w:szCs w:val="24"/>
          <w:rtl w:val="0"/>
        </w:rPr>
        <w:t>: F</w:t>
      </w:r>
      <w:r>
        <w:rPr>
          <w:sz w:val="24"/>
          <w:szCs w:val="24"/>
          <w:rtl w:val="0"/>
        </w:rPr>
        <w:t>ê</w:t>
      </w:r>
      <w:r>
        <w:rPr>
          <w:sz w:val="24"/>
          <w:szCs w:val="24"/>
          <w:rtl w:val="0"/>
          <w:lang w:val="pt-PT"/>
        </w:rPr>
        <w:t xml:space="preserve">meas adultas apresentaram maior peso corporal (30,59 </w:t>
      </w:r>
      <w:r>
        <w:rPr>
          <w:sz w:val="24"/>
          <w:szCs w:val="24"/>
          <w:rtl w:val="1"/>
        </w:rPr>
        <w:t xml:space="preserve">± </w:t>
      </w:r>
      <w:r>
        <w:rPr>
          <w:sz w:val="24"/>
          <w:szCs w:val="24"/>
          <w:rtl w:val="0"/>
        </w:rPr>
        <w:t>2,76</w:t>
      </w:r>
      <w:r>
        <w:rPr>
          <w:sz w:val="24"/>
          <w:szCs w:val="24"/>
          <w:rtl w:val="0"/>
          <w:lang w:val="fr-FR"/>
        </w:rPr>
        <w:t> </w:t>
      </w:r>
      <w:r>
        <w:rPr>
          <w:sz w:val="24"/>
          <w:szCs w:val="24"/>
          <w:rtl w:val="0"/>
          <w:lang w:val="pt-PT"/>
        </w:rPr>
        <w:t xml:space="preserve">kg) que as jovens (21,93 </w:t>
      </w:r>
      <w:r>
        <w:rPr>
          <w:sz w:val="24"/>
          <w:szCs w:val="24"/>
          <w:rtl w:val="1"/>
        </w:rPr>
        <w:t xml:space="preserve">± </w:t>
      </w:r>
      <w:r>
        <w:rPr>
          <w:sz w:val="24"/>
          <w:szCs w:val="24"/>
          <w:rtl w:val="0"/>
        </w:rPr>
        <w:t>7,02</w:t>
      </w:r>
      <w:r>
        <w:rPr>
          <w:sz w:val="24"/>
          <w:szCs w:val="24"/>
          <w:rtl w:val="0"/>
          <w:lang w:val="fr-FR"/>
        </w:rPr>
        <w:t> </w:t>
      </w:r>
      <w:r>
        <w:rPr>
          <w:sz w:val="24"/>
          <w:szCs w:val="24"/>
          <w:rtl w:val="0"/>
          <w:lang w:val="pt-PT"/>
        </w:rPr>
        <w:t>kg). A vulva das adultas apresentou maiores dimens</w:t>
      </w:r>
      <w:r>
        <w:rPr>
          <w:sz w:val="24"/>
          <w:szCs w:val="24"/>
          <w:rtl w:val="0"/>
          <w:lang w:val="pt-PT"/>
        </w:rPr>
        <w:t>õ</w:t>
      </w:r>
      <w:r>
        <w:rPr>
          <w:sz w:val="24"/>
          <w:szCs w:val="24"/>
          <w:rtl w:val="0"/>
          <w:lang w:val="pt-PT"/>
        </w:rPr>
        <w:t xml:space="preserve">es (comprimento 5,57 </w:t>
      </w:r>
      <w:r>
        <w:rPr>
          <w:sz w:val="24"/>
          <w:szCs w:val="24"/>
          <w:rtl w:val="1"/>
        </w:rPr>
        <w:t xml:space="preserve">± </w:t>
      </w:r>
      <w:r>
        <w:rPr>
          <w:sz w:val="24"/>
          <w:szCs w:val="24"/>
          <w:rtl w:val="0"/>
          <w:lang w:val="it-IT"/>
        </w:rPr>
        <w:t xml:space="preserve">1,06 cm; largura 3,52 </w:t>
      </w:r>
      <w:r>
        <w:rPr>
          <w:sz w:val="24"/>
          <w:szCs w:val="24"/>
          <w:rtl w:val="1"/>
        </w:rPr>
        <w:t xml:space="preserve">± </w:t>
      </w:r>
      <w:r>
        <w:rPr>
          <w:sz w:val="24"/>
          <w:szCs w:val="24"/>
          <w:rtl w:val="0"/>
          <w:lang w:val="pt-PT"/>
        </w:rPr>
        <w:t>0,73 cm) em rela</w:t>
      </w:r>
      <w:r>
        <w:rPr>
          <w:sz w:val="24"/>
          <w:szCs w:val="24"/>
          <w:rtl w:val="0"/>
          <w:lang w:val="pt-PT"/>
        </w:rPr>
        <w:t>çã</w:t>
      </w:r>
      <w:r>
        <w:rPr>
          <w:sz w:val="24"/>
          <w:szCs w:val="24"/>
          <w:rtl w:val="0"/>
        </w:rPr>
        <w:t xml:space="preserve">o </w:t>
      </w:r>
      <w:r>
        <w:rPr>
          <w:sz w:val="24"/>
          <w:szCs w:val="24"/>
          <w:rtl w:val="0"/>
        </w:rPr>
        <w:t>à</w:t>
      </w:r>
      <w:r>
        <w:rPr>
          <w:sz w:val="24"/>
          <w:szCs w:val="24"/>
          <w:rtl w:val="0"/>
          <w:lang w:val="pt-PT"/>
        </w:rPr>
        <w:t xml:space="preserve">s jovens (comprimento 3,95 </w:t>
      </w:r>
      <w:r>
        <w:rPr>
          <w:sz w:val="24"/>
          <w:szCs w:val="24"/>
          <w:rtl w:val="1"/>
        </w:rPr>
        <w:t xml:space="preserve">± </w:t>
      </w:r>
      <w:r>
        <w:rPr>
          <w:sz w:val="24"/>
          <w:szCs w:val="24"/>
          <w:rtl w:val="0"/>
          <w:lang w:val="it-IT"/>
        </w:rPr>
        <w:t xml:space="preserve">0,74 cm; largura 2,75 </w:t>
      </w:r>
      <w:r>
        <w:rPr>
          <w:sz w:val="24"/>
          <w:szCs w:val="24"/>
          <w:rtl w:val="1"/>
        </w:rPr>
        <w:t xml:space="preserve">± </w:t>
      </w:r>
      <w:r>
        <w:rPr>
          <w:sz w:val="24"/>
          <w:szCs w:val="24"/>
          <w:rtl w:val="0"/>
          <w:lang w:val="pt-PT"/>
        </w:rPr>
        <w:t>0,76 cm), com diferen</w:t>
      </w:r>
      <w:r>
        <w:rPr>
          <w:sz w:val="24"/>
          <w:szCs w:val="24"/>
          <w:rtl w:val="0"/>
        </w:rPr>
        <w:t>ç</w:t>
      </w:r>
      <w:r>
        <w:rPr>
          <w:sz w:val="24"/>
          <w:szCs w:val="24"/>
          <w:rtl w:val="0"/>
          <w:lang w:val="pt-PT"/>
        </w:rPr>
        <w:t>as estatisticamente significativas. A citologia vaginal revelou predomin</w:t>
      </w:r>
      <w:r>
        <w:rPr>
          <w:sz w:val="24"/>
          <w:szCs w:val="24"/>
          <w:rtl w:val="0"/>
        </w:rPr>
        <w:t>â</w:t>
      </w:r>
      <w:r>
        <w:rPr>
          <w:sz w:val="24"/>
          <w:szCs w:val="24"/>
          <w:rtl w:val="0"/>
          <w:lang w:val="pt-PT"/>
        </w:rPr>
        <w:t>ncia de c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  <w:lang w:val="pt-PT"/>
        </w:rPr>
        <w:t xml:space="preserve">lulas parabasais em ambos os grupos: 68,0% </w:t>
      </w:r>
      <w:r>
        <w:rPr>
          <w:sz w:val="24"/>
          <w:szCs w:val="24"/>
          <w:rtl w:val="1"/>
        </w:rPr>
        <w:t xml:space="preserve">± </w:t>
      </w:r>
      <w:r>
        <w:rPr>
          <w:sz w:val="24"/>
          <w:szCs w:val="24"/>
          <w:rtl w:val="0"/>
          <w:lang w:val="pt-PT"/>
        </w:rPr>
        <w:t xml:space="preserve">34,8 nas adultas e 51,5% </w:t>
      </w:r>
      <w:r>
        <w:rPr>
          <w:sz w:val="24"/>
          <w:szCs w:val="24"/>
          <w:rtl w:val="1"/>
        </w:rPr>
        <w:t xml:space="preserve">± </w:t>
      </w:r>
      <w:r>
        <w:rPr>
          <w:sz w:val="24"/>
          <w:szCs w:val="24"/>
          <w:rtl w:val="0"/>
          <w:lang w:val="pt-PT"/>
        </w:rPr>
        <w:t>23,5 nas jovens (</w:t>
      </w:r>
      <w:r>
        <w:rPr>
          <w:b w:val="1"/>
          <w:bCs w:val="1"/>
          <w:sz w:val="24"/>
          <w:szCs w:val="24"/>
          <w:rtl w:val="0"/>
          <w:lang w:val="pt-PT"/>
        </w:rPr>
        <w:t>Figura 1</w:t>
      </w:r>
      <w:r>
        <w:rPr>
          <w:sz w:val="24"/>
          <w:szCs w:val="24"/>
          <w:rtl w:val="0"/>
          <w:lang w:val="pt-PT"/>
        </w:rPr>
        <w:t>). As concentra</w:t>
      </w:r>
      <w:r>
        <w:rPr>
          <w:sz w:val="24"/>
          <w:szCs w:val="24"/>
          <w:rtl w:val="0"/>
          <w:lang w:val="pt-PT"/>
        </w:rPr>
        <w:t>çõ</w:t>
      </w:r>
      <w:r>
        <w:rPr>
          <w:sz w:val="24"/>
          <w:szCs w:val="24"/>
          <w:rtl w:val="0"/>
          <w:lang w:val="fr-FR"/>
        </w:rPr>
        <w:t>es s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  <w:lang w:val="pt-PT"/>
        </w:rPr>
        <w:t>ricas de estradiol e progesterona variaram entre os indiv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  <w:lang w:val="pt-PT"/>
        </w:rPr>
        <w:t>duos. O estradiol teve m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  <w:lang w:val="pt-PT"/>
        </w:rPr>
        <w:t xml:space="preserve">dia de 19,5 </w:t>
      </w:r>
      <w:r>
        <w:rPr>
          <w:sz w:val="24"/>
          <w:szCs w:val="24"/>
          <w:rtl w:val="1"/>
        </w:rPr>
        <w:t xml:space="preserve">± </w:t>
      </w:r>
      <w:r>
        <w:rPr>
          <w:sz w:val="24"/>
          <w:szCs w:val="24"/>
          <w:rtl w:val="0"/>
          <w:lang w:val="pt-PT"/>
        </w:rPr>
        <w:t xml:space="preserve">9,8 pg/mL nas adultas e 44,6 </w:t>
      </w:r>
      <w:r>
        <w:rPr>
          <w:sz w:val="24"/>
          <w:szCs w:val="24"/>
          <w:rtl w:val="1"/>
        </w:rPr>
        <w:t xml:space="preserve">± </w:t>
      </w:r>
      <w:r>
        <w:rPr>
          <w:sz w:val="24"/>
          <w:szCs w:val="24"/>
          <w:rtl w:val="0"/>
          <w:lang w:val="pt-PT"/>
        </w:rPr>
        <w:t>40,9 pg/mL nas jovens. A progesterona apresentou m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  <w:lang w:val="pt-PT"/>
        </w:rPr>
        <w:t xml:space="preserve">dias semelhantes: 2,3 </w:t>
      </w:r>
      <w:r>
        <w:rPr>
          <w:sz w:val="24"/>
          <w:szCs w:val="24"/>
          <w:rtl w:val="1"/>
        </w:rPr>
        <w:t xml:space="preserve">± </w:t>
      </w:r>
      <w:r>
        <w:rPr>
          <w:sz w:val="24"/>
          <w:szCs w:val="24"/>
          <w:rtl w:val="0"/>
          <w:lang w:val="pt-PT"/>
        </w:rPr>
        <w:t xml:space="preserve">1,2 ng/mL nas adultas e 2,2 </w:t>
      </w:r>
      <w:r>
        <w:rPr>
          <w:sz w:val="24"/>
          <w:szCs w:val="24"/>
          <w:rtl w:val="1"/>
        </w:rPr>
        <w:t xml:space="preserve">± </w:t>
      </w:r>
      <w:r>
        <w:rPr>
          <w:sz w:val="24"/>
          <w:szCs w:val="24"/>
          <w:rtl w:val="0"/>
          <w:lang w:val="pt-PT"/>
        </w:rPr>
        <w:t>0,4 ng/mL nas jovens, sem diferen</w:t>
      </w:r>
      <w:r>
        <w:rPr>
          <w:sz w:val="24"/>
          <w:szCs w:val="24"/>
          <w:rtl w:val="0"/>
        </w:rPr>
        <w:t>ç</w:t>
      </w:r>
      <w:r>
        <w:rPr>
          <w:sz w:val="24"/>
          <w:szCs w:val="24"/>
          <w:rtl w:val="0"/>
          <w:lang w:val="pt-PT"/>
        </w:rPr>
        <w:t xml:space="preserve">as significativas. Quanto </w:t>
      </w:r>
      <w:r>
        <w:rPr>
          <w:sz w:val="24"/>
          <w:szCs w:val="24"/>
          <w:rtl w:val="0"/>
        </w:rPr>
        <w:t xml:space="preserve">à </w:t>
      </w:r>
      <w:r>
        <w:rPr>
          <w:sz w:val="24"/>
          <w:szCs w:val="24"/>
          <w:rtl w:val="0"/>
          <w:lang w:val="pt-PT"/>
        </w:rPr>
        <w:t>microbiota vaginal, nas adultas predominavam bacilos Gram-negativos e nas jovens, cocos Gram-positivos.</w:t>
      </w:r>
    </w:p>
    <w:p>
      <w:pPr>
        <w:pStyle w:val="Corpo"/>
        <w:jc w:val="both"/>
        <w:rPr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Discuss</w:t>
      </w:r>
      <w:r>
        <w:rPr>
          <w:b w:val="1"/>
          <w:bCs w:val="1"/>
          <w:sz w:val="24"/>
          <w:szCs w:val="24"/>
          <w:rtl w:val="0"/>
          <w:lang w:val="pt-PT"/>
        </w:rPr>
        <w:t>ã</w:t>
      </w:r>
      <w:r>
        <w:rPr>
          <w:b w:val="1"/>
          <w:bCs w:val="1"/>
          <w:sz w:val="24"/>
          <w:szCs w:val="24"/>
          <w:rtl w:val="0"/>
          <w:lang w:val="pt-PT"/>
        </w:rPr>
        <w:t>o e Conclus</w:t>
      </w:r>
      <w:r>
        <w:rPr>
          <w:b w:val="1"/>
          <w:bCs w:val="1"/>
          <w:sz w:val="24"/>
          <w:szCs w:val="24"/>
          <w:rtl w:val="0"/>
          <w:lang w:val="pt-PT"/>
        </w:rPr>
        <w:t>ã</w:t>
      </w:r>
      <w:r>
        <w:rPr>
          <w:b w:val="1"/>
          <w:bCs w:val="1"/>
          <w:sz w:val="24"/>
          <w:szCs w:val="24"/>
          <w:rtl w:val="0"/>
        </w:rPr>
        <w:t>o</w:t>
      </w:r>
      <w:r>
        <w:rPr>
          <w:sz w:val="24"/>
          <w:szCs w:val="24"/>
          <w:rtl w:val="0"/>
          <w:lang w:val="es-ES_tradnl"/>
        </w:rPr>
        <w:t xml:space="preserve">: Este </w:t>
      </w:r>
      <w:r>
        <w:rPr>
          <w:sz w:val="24"/>
          <w:szCs w:val="24"/>
          <w:rtl w:val="0"/>
          <w:lang w:val="fr-FR"/>
        </w:rPr>
        <w:t xml:space="preserve">é </w:t>
      </w:r>
      <w:r>
        <w:rPr>
          <w:sz w:val="24"/>
          <w:szCs w:val="24"/>
          <w:rtl w:val="0"/>
          <w:lang w:val="pt-PT"/>
        </w:rPr>
        <w:t>o primeiro estudo a integrar dados morfol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pt-PT"/>
        </w:rPr>
        <w:t>gicos, hormonais, citol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pt-PT"/>
        </w:rPr>
        <w:t>gicos e microbiol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pt-PT"/>
        </w:rPr>
        <w:t>gicos do trato reprodutivo de f</w:t>
      </w:r>
      <w:r>
        <w:rPr>
          <w:sz w:val="24"/>
          <w:szCs w:val="24"/>
          <w:rtl w:val="0"/>
        </w:rPr>
        <w:t>ê</w:t>
      </w:r>
      <w:r>
        <w:rPr>
          <w:sz w:val="24"/>
          <w:szCs w:val="24"/>
          <w:rtl w:val="0"/>
          <w:lang w:val="pt-PT"/>
        </w:rPr>
        <w:t xml:space="preserve">meas de </w:t>
      </w:r>
      <w:r>
        <w:rPr>
          <w:i w:val="1"/>
          <w:iCs w:val="1"/>
          <w:sz w:val="24"/>
          <w:szCs w:val="24"/>
          <w:rtl w:val="0"/>
          <w:lang w:val="es-ES_tradnl"/>
        </w:rPr>
        <w:t>M. tridactyla</w:t>
      </w:r>
      <w:r>
        <w:rPr>
          <w:sz w:val="24"/>
          <w:szCs w:val="24"/>
          <w:rtl w:val="0"/>
          <w:lang w:val="pt-PT"/>
        </w:rPr>
        <w:t xml:space="preserve"> em vida livre, contribuindo de forma in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  <w:lang w:val="pt-PT"/>
        </w:rPr>
        <w:t>dita para o conhecimento da fisiologia reprodutiva da esp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</w:rPr>
        <w:t xml:space="preserve">cie </w:t>
      </w:r>
      <w:r>
        <w:rPr>
          <w:i w:val="1"/>
          <w:iCs w:val="1"/>
          <w:sz w:val="24"/>
          <w:szCs w:val="24"/>
          <w:rtl w:val="0"/>
        </w:rPr>
        <w:t>in situ</w:t>
      </w:r>
      <w:r>
        <w:rPr>
          <w:sz w:val="24"/>
          <w:szCs w:val="24"/>
          <w:rtl w:val="0"/>
          <w:lang w:val="pt-PT"/>
        </w:rPr>
        <w:t xml:space="preserve"> e subsidiando protocolos para seu manejo reprodutivo.</w:t>
      </w:r>
    </w:p>
    <w:p>
      <w:pPr>
        <w:pStyle w:val="Corpo"/>
        <w:jc w:val="both"/>
        <w:rPr>
          <w:sz w:val="24"/>
          <w:szCs w:val="24"/>
        </w:rPr>
      </w:pPr>
    </w:p>
    <w:p>
      <w:pPr>
        <w:pStyle w:val="Corpo"/>
        <w:spacing w:line="240" w:lineRule="auto"/>
        <w:jc w:val="both"/>
        <w:rPr>
          <w:sz w:val="24"/>
          <w:szCs w:val="24"/>
        </w:rPr>
      </w:pPr>
      <w:r>
        <w:rPr>
          <w:b w:val="1"/>
          <w:bCs w:val="1"/>
          <w:sz w:val="24"/>
          <w:szCs w:val="24"/>
          <w:rtl w:val="0"/>
        </w:rPr>
        <w:t>Refer</w:t>
      </w:r>
      <w:r>
        <w:rPr>
          <w:b w:val="1"/>
          <w:bCs w:val="1"/>
          <w:sz w:val="24"/>
          <w:szCs w:val="24"/>
          <w:rtl w:val="0"/>
        </w:rPr>
        <w:t>ê</w:t>
      </w:r>
      <w:r>
        <w:rPr>
          <w:b w:val="1"/>
          <w:bCs w:val="1"/>
          <w:sz w:val="24"/>
          <w:szCs w:val="24"/>
          <w:rtl w:val="0"/>
          <w:lang w:val="pt-PT"/>
        </w:rPr>
        <w:t>ncias</w:t>
      </w:r>
      <w:r>
        <w:rPr>
          <w:sz w:val="24"/>
          <w:szCs w:val="24"/>
          <w:rtl w:val="0"/>
        </w:rPr>
        <w:t>:</w:t>
      </w:r>
      <w:r>
        <w:rPr>
          <w:b w:val="1"/>
          <w:bCs w:val="1"/>
          <w:sz w:val="24"/>
          <w:szCs w:val="24"/>
          <w:rtl w:val="0"/>
        </w:rPr>
        <w:t xml:space="preserve"> 1)</w:t>
      </w:r>
      <w:r>
        <w:rPr>
          <w:sz w:val="24"/>
          <w:szCs w:val="24"/>
          <w:rtl w:val="0"/>
          <w:lang w:val="pt-PT"/>
        </w:rPr>
        <w:t xml:space="preserve"> Miranda F. </w:t>
      </w:r>
      <w:sdt>
        <w:sdtPr>
          <w:tag w:val="goog_rdk_1"/>
        </w:sdtPr>
        <w:sdtContent>
          <w:commentRangeStart w:id="1"/>
        </w:sdtContent>
      </w:sdt>
      <w:r>
        <w:rPr>
          <w:sz w:val="24"/>
          <w:szCs w:val="24"/>
          <w:rtl w:val="0"/>
          <w:lang w:val="pt-PT"/>
        </w:rPr>
        <w:t xml:space="preserve">Cingulata</w:t>
      </w:r>
      <w:commentRangeEnd w:id="1"/>
      <w:r>
        <w:rPr>
          <w:rStyle w:val="CommentReference"/>
        </w:rPr>
        <w:commentReference w:id="1"/>
      </w:r>
      <w:r>
        <w:rPr>
          <w:sz w:val="24"/>
          <w:szCs w:val="24"/>
          <w:rtl w:val="0"/>
          <w:lang w:val="pt-PT"/>
        </w:rPr>
        <w:t xml:space="preserve"> (Tatus) e </w:t>
      </w:r>
      <w:sdt>
        <w:sdtPr>
          <w:tag w:val="goog_rdk_0"/>
        </w:sdtPr>
        <w:sdtContent>
          <w:commentRangeStart w:id="0"/>
        </w:sdtContent>
      </w:sdt>
      <w:r>
        <w:rPr>
          <w:sz w:val="24"/>
          <w:szCs w:val="24"/>
          <w:rtl w:val="0"/>
          <w:lang w:val="pt-PT"/>
        </w:rPr>
        <w:t xml:space="preserve">Pilosa</w:t>
      </w:r>
      <w:commentRangeEnd w:id="0"/>
      <w:r>
        <w:rPr>
          <w:rStyle w:val="CommentReference"/>
        </w:rPr>
        <w:commentReference w:id="0"/>
      </w:r>
      <w:r>
        <w:rPr>
          <w:sz w:val="24"/>
          <w:szCs w:val="24"/>
          <w:rtl w:val="0"/>
          <w:lang w:val="pt-PT"/>
        </w:rPr>
        <w:t xml:space="preserve"> (Pregui</w:t>
      </w:r>
      <w:r>
        <w:rPr>
          <w:sz w:val="24"/>
          <w:szCs w:val="24"/>
          <w:rtl w:val="0"/>
        </w:rPr>
        <w:t>ç</w:t>
      </w:r>
      <w:r>
        <w:rPr>
          <w:sz w:val="24"/>
          <w:szCs w:val="24"/>
          <w:rtl w:val="0"/>
          <w:lang w:val="pt-PT"/>
        </w:rPr>
        <w:t>as e Tamandu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  <w:lang w:val="pt-PT"/>
        </w:rPr>
        <w:t>s). In: Tratado Animais Selvagens Med. Vet., vol. 1. 2 ed. S</w:t>
      </w:r>
      <w:r>
        <w:rPr>
          <w:sz w:val="24"/>
          <w:szCs w:val="24"/>
          <w:rtl w:val="0"/>
          <w:lang w:val="pt-PT"/>
        </w:rPr>
        <w:t>ã</w:t>
      </w:r>
      <w:r>
        <w:rPr>
          <w:sz w:val="24"/>
          <w:szCs w:val="24"/>
          <w:rtl w:val="0"/>
          <w:lang w:val="pt-PT"/>
        </w:rPr>
        <w:t xml:space="preserve">o Paulo (Brasil): Editora Roca; 2014. p.707-21. </w:t>
      </w:r>
      <w:r>
        <w:rPr>
          <w:b w:val="1"/>
          <w:bCs w:val="1"/>
          <w:sz w:val="24"/>
          <w:szCs w:val="24"/>
          <w:rtl w:val="0"/>
        </w:rPr>
        <w:t>2)</w:t>
      </w:r>
      <w:r>
        <w:rPr>
          <w:sz w:val="24"/>
          <w:szCs w:val="24"/>
          <w:rtl w:val="0"/>
          <w:lang w:val="en-US"/>
        </w:rPr>
        <w:t xml:space="preserve"> Desbiez ALJ, et al. Population viability analysis as a tool for giant anteater conservation. Perspectives in Ecology and Conservation 2020; 18(2):124- 131.  </w:t>
      </w:r>
      <w:r>
        <w:rPr>
          <w:b w:val="1"/>
          <w:bCs w:val="1"/>
          <w:sz w:val="24"/>
          <w:szCs w:val="24"/>
          <w:rtl w:val="0"/>
        </w:rPr>
        <w:t>3)</w:t>
      </w:r>
      <w:r>
        <w:rPr>
          <w:sz w:val="24"/>
          <w:szCs w:val="24"/>
          <w:rtl w:val="0"/>
          <w:lang w:val="en-US"/>
        </w:rPr>
        <w:t xml:space="preserve"> Patzl M, et al. Monitoring ovarian cycle and pregnancy in the giant anteater (</w:t>
      </w:r>
      <w:r>
        <w:rPr>
          <w:i w:val="1"/>
          <w:iCs w:val="1"/>
          <w:sz w:val="24"/>
          <w:szCs w:val="24"/>
          <w:rtl w:val="0"/>
          <w:lang w:val="en-US"/>
        </w:rPr>
        <w:t>Myrmecophaga tridactyla</w:t>
      </w:r>
      <w:r>
        <w:rPr>
          <w:sz w:val="24"/>
          <w:szCs w:val="24"/>
          <w:rtl w:val="0"/>
          <w:lang w:val="en-US"/>
        </w:rPr>
        <w:t xml:space="preserve">) by faecal progestagen and oestrogen analysis. Animal Reproduction Science 1998; 53:209-219. </w:t>
      </w:r>
      <w:r>
        <w:rPr>
          <w:b w:val="1"/>
          <w:bCs w:val="1"/>
          <w:sz w:val="24"/>
          <w:szCs w:val="24"/>
          <w:rtl w:val="0"/>
        </w:rPr>
        <w:t>4)</w:t>
      </w:r>
      <w:r>
        <w:rPr>
          <w:sz w:val="24"/>
          <w:szCs w:val="24"/>
          <w:rtl w:val="0"/>
          <w:lang w:val="en-US"/>
        </w:rPr>
        <w:t xml:space="preserve"> Amendolagine L, et al. In-house monitoring of steroid hormone metabolites in urine- informs breeding management of a giant anteater (</w:t>
      </w:r>
      <w:r>
        <w:rPr>
          <w:i w:val="1"/>
          <w:iCs w:val="1"/>
          <w:sz w:val="24"/>
          <w:szCs w:val="24"/>
          <w:rtl w:val="0"/>
          <w:lang w:val="es-ES_tradnl"/>
        </w:rPr>
        <w:t>Myrmechophaga tridactyla</w:t>
      </w:r>
      <w:r>
        <w:rPr>
          <w:sz w:val="24"/>
          <w:szCs w:val="24"/>
          <w:rtl w:val="0"/>
        </w:rPr>
        <w:t xml:space="preserve">). Zoo Biology 2018; 37:40-45. </w:t>
      </w:r>
      <w:r>
        <w:rPr>
          <w:b w:val="1"/>
          <w:bCs w:val="1"/>
          <w:sz w:val="24"/>
          <w:szCs w:val="24"/>
          <w:rtl w:val="0"/>
        </w:rPr>
        <w:t>5)</w:t>
      </w:r>
      <w:r>
        <w:rPr>
          <w:sz w:val="24"/>
          <w:szCs w:val="24"/>
          <w:rtl w:val="0"/>
          <w:lang w:val="en-US"/>
        </w:rPr>
        <w:t xml:space="preserve"> Kluyber D, et al. Physical capture and chemical immobilization procedures for a mammal with singular anatomy: the giant anteater (</w:t>
      </w:r>
      <w:r>
        <w:rPr>
          <w:i w:val="1"/>
          <w:iCs w:val="1"/>
          <w:sz w:val="24"/>
          <w:szCs w:val="24"/>
          <w:rtl w:val="0"/>
          <w:lang w:val="en-US"/>
        </w:rPr>
        <w:t>Myrmecophaga tridactyla</w:t>
      </w:r>
      <w:r>
        <w:rPr>
          <w:sz w:val="24"/>
          <w:szCs w:val="24"/>
          <w:rtl w:val="0"/>
          <w:lang w:val="en-US"/>
        </w:rPr>
        <w:t>). European Journal of Wildlife Research 2021; 67:67.</w:t>
      </w:r>
    </w:p>
    <w:p>
      <w:pPr>
        <w:pStyle w:val="Corpo"/>
        <w:spacing w:line="240" w:lineRule="auto"/>
        <w:jc w:val="both"/>
        <w:rPr>
          <w:sz w:val="24"/>
          <w:szCs w:val="24"/>
        </w:rPr>
      </w:pPr>
    </w:p>
    <w:p>
      <w:pPr>
        <w:pStyle w:val="Corpo"/>
        <w:spacing w:line="240" w:lineRule="auto"/>
        <w:jc w:val="both"/>
      </w:pPr>
      <w:r>
        <w:rPr>
          <w:b w:val="1"/>
          <w:bCs w:val="1"/>
          <w:sz w:val="24"/>
          <w:szCs w:val="24"/>
          <w:rtl w:val="0"/>
          <w:lang w:val="pt-PT"/>
        </w:rPr>
        <w:t>Palavras-chave</w:t>
      </w:r>
      <w:r>
        <w:rPr>
          <w:sz w:val="24"/>
          <w:szCs w:val="24"/>
          <w:rtl w:val="0"/>
          <w:lang w:val="pt-PT"/>
        </w:rPr>
        <w:t>: Citologia vaginal, horm</w:t>
      </w:r>
      <w:r>
        <w:rPr>
          <w:sz w:val="24"/>
          <w:szCs w:val="24"/>
          <w:rtl w:val="0"/>
        </w:rPr>
        <w:t>ô</w:t>
      </w:r>
      <w:r>
        <w:rPr>
          <w:sz w:val="24"/>
          <w:szCs w:val="24"/>
          <w:rtl w:val="0"/>
          <w:lang w:val="pt-PT"/>
        </w:rPr>
        <w:t>nios sexuais, microbiota.</w:t>
      </w:r>
    </w:p>
    <w:p>
      <w:pPr>
        <w:pStyle w:val="Corpo"/>
        <w:spacing w:line="240" w:lineRule="auto"/>
        <w:jc w:val="both"/>
        <w:rPr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 xml:space="preserve">Keywords: </w:t>
      </w:r>
      <w:r>
        <w:rPr>
          <w:sz w:val="24"/>
          <w:szCs w:val="24"/>
          <w:shd w:val="clear" w:color="auto" w:fill="ffffff"/>
          <w:rtl w:val="0"/>
          <w:lang w:val="en-US"/>
        </w:rPr>
        <w:t>Microbiota, sex hormones, vaginal cytology.</w:t>
      </w:r>
    </w:p>
    <w:p>
      <w:pPr>
        <w:pStyle w:val="Corpo"/>
        <w:spacing w:line="240" w:lineRule="auto"/>
        <w:jc w:val="both"/>
        <w:rPr>
          <w:sz w:val="24"/>
          <w:szCs w:val="24"/>
        </w:rPr>
      </w:pPr>
    </w:p>
    <w:p>
      <w:pPr>
        <w:pStyle w:val="Corpo"/>
        <w:spacing w:line="240" w:lineRule="auto"/>
        <w:jc w:val="both"/>
        <w:rPr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pt-PT"/>
        </w:rPr>
        <w:t>Autoriza</w:t>
      </w:r>
      <w:r>
        <w:rPr>
          <w:b w:val="1"/>
          <w:bCs w:val="1"/>
          <w:sz w:val="24"/>
          <w:szCs w:val="24"/>
          <w:rtl w:val="0"/>
          <w:lang w:val="pt-PT"/>
        </w:rPr>
        <w:t>çõ</w:t>
      </w:r>
      <w:r>
        <w:rPr>
          <w:b w:val="1"/>
          <w:bCs w:val="1"/>
          <w:sz w:val="24"/>
          <w:szCs w:val="24"/>
          <w:rtl w:val="0"/>
          <w:lang w:val="en-US"/>
        </w:rPr>
        <w:t xml:space="preserve">es: </w:t>
      </w:r>
      <w:r>
        <w:rPr>
          <w:sz w:val="24"/>
          <w:szCs w:val="24"/>
          <w:rtl w:val="0"/>
          <w:lang w:val="pt-PT"/>
        </w:rPr>
        <w:t>CEUA n</w:t>
      </w:r>
      <w:r>
        <w:rPr>
          <w:sz w:val="24"/>
          <w:szCs w:val="24"/>
          <w:rtl w:val="0"/>
        </w:rPr>
        <w:t xml:space="preserve">º </w:t>
      </w:r>
      <w:r>
        <w:rPr>
          <w:sz w:val="24"/>
          <w:szCs w:val="24"/>
          <w:rtl w:val="0"/>
          <w:lang w:val="en-US"/>
        </w:rPr>
        <w:t>528/2023 / SISBio n</w:t>
      </w:r>
      <w:r>
        <w:rPr>
          <w:sz w:val="24"/>
          <w:szCs w:val="24"/>
          <w:rtl w:val="0"/>
        </w:rPr>
        <w:t xml:space="preserve">º </w:t>
      </w:r>
      <w:r>
        <w:rPr>
          <w:sz w:val="24"/>
          <w:szCs w:val="24"/>
          <w:rtl w:val="0"/>
        </w:rPr>
        <w:t>53798</w:t>
      </w:r>
    </w:p>
    <w:p>
      <w:pPr>
        <w:pStyle w:val="Corpo"/>
        <w:spacing w:line="240" w:lineRule="auto"/>
        <w:jc w:val="both"/>
        <w:rPr>
          <w:b w:val="1"/>
          <w:bCs w:val="1"/>
          <w:sz w:val="24"/>
          <w:szCs w:val="24"/>
        </w:rPr>
      </w:pPr>
    </w:p>
    <w:p>
      <w:pPr>
        <w:pStyle w:val="Corpo"/>
        <w:spacing w:line="240" w:lineRule="auto"/>
        <w:jc w:val="both"/>
      </w:pPr>
      <w:r>
        <w:rPr>
          <w:b w:val="1"/>
          <w:bCs w:val="1"/>
          <w:sz w:val="24"/>
          <w:szCs w:val="24"/>
          <w:rtl w:val="0"/>
        </w:rPr>
        <w:t>Ag</w:t>
      </w:r>
      <w:r>
        <w:rPr>
          <w:b w:val="1"/>
          <w:bCs w:val="1"/>
          <w:sz w:val="24"/>
          <w:szCs w:val="24"/>
          <w:rtl w:val="0"/>
        </w:rPr>
        <w:t>ê</w:t>
      </w:r>
      <w:r>
        <w:rPr>
          <w:b w:val="1"/>
          <w:bCs w:val="1"/>
          <w:sz w:val="24"/>
          <w:szCs w:val="24"/>
          <w:rtl w:val="0"/>
          <w:lang w:val="pt-PT"/>
        </w:rPr>
        <w:t>ncias Financiadoras</w:t>
      </w:r>
      <w:r>
        <w:rPr>
          <w:sz w:val="24"/>
          <w:szCs w:val="24"/>
          <w:rtl w:val="0"/>
        </w:rPr>
        <w:t xml:space="preserve">: </w:t>
      </w:r>
      <w:r>
        <w:rPr>
          <w:rtl w:val="0"/>
          <w:lang w:val="pt-PT"/>
        </w:rPr>
        <w:t>FAPESP e Instituto de Conserva</w:t>
      </w:r>
      <w:r>
        <w:rPr>
          <w:rtl w:val="0"/>
          <w:lang w:val="pt-PT"/>
        </w:rPr>
        <w:t>çã</w:t>
      </w:r>
      <w:r>
        <w:rPr>
          <w:rtl w:val="0"/>
          <w:lang w:val="pt-PT"/>
        </w:rPr>
        <w:t>o de Animais Silvestres (ICAS).</w:t>
      </w:r>
    </w:p>
    <w:p>
      <w:pPr>
        <w:pStyle w:val="Corpo"/>
        <w:spacing w:line="240" w:lineRule="auto"/>
        <w:jc w:val="both"/>
        <w:rPr>
          <w:sz w:val="24"/>
          <w:szCs w:val="24"/>
        </w:rPr>
      </w:pPr>
    </w:p>
    <w:p>
      <w:pPr>
        <w:pStyle w:val="Corpo"/>
        <w:spacing w:line="240" w:lineRule="auto"/>
        <w:jc w:val="both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pt-PT"/>
        </w:rPr>
        <w:t xml:space="preserve">Figura 1: </w:t>
      </w:r>
      <w:r>
        <w:rPr>
          <w:sz w:val="24"/>
          <w:szCs w:val="24"/>
          <w:rtl w:val="0"/>
          <w:lang w:val="pt-PT"/>
        </w:rPr>
        <w:t>&lt;Citologias vaginais de tamandu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  <w:lang w:val="pt-PT"/>
        </w:rPr>
        <w:t>-bandeira (</w:t>
      </w:r>
      <w:r>
        <w:rPr>
          <w:i w:val="1"/>
          <w:iCs w:val="1"/>
          <w:sz w:val="24"/>
          <w:szCs w:val="24"/>
          <w:rtl w:val="0"/>
          <w:lang w:val="en-US"/>
        </w:rPr>
        <w:t>Myrmecophaga tridactyla</w:t>
      </w:r>
      <w:r>
        <w:rPr>
          <w:sz w:val="24"/>
          <w:szCs w:val="24"/>
          <w:rtl w:val="0"/>
          <w:lang w:val="pt-PT"/>
        </w:rPr>
        <w:t>) coradas com Pan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it-IT"/>
        </w:rPr>
        <w:t>tico R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  <w:lang w:val="pt-PT"/>
        </w:rPr>
        <w:t>pido e observadas por microscopia de luz. (A, B) Citologias vaginais de f</w:t>
      </w:r>
      <w:r>
        <w:rPr>
          <w:sz w:val="24"/>
          <w:szCs w:val="24"/>
          <w:rtl w:val="0"/>
        </w:rPr>
        <w:t>ê</w:t>
      </w:r>
      <w:r>
        <w:rPr>
          <w:sz w:val="24"/>
          <w:szCs w:val="24"/>
          <w:rtl w:val="0"/>
          <w:lang w:val="pt-PT"/>
        </w:rPr>
        <w:t>meas classificadas como adultas, com predomin</w:t>
      </w:r>
      <w:r>
        <w:rPr>
          <w:sz w:val="24"/>
          <w:szCs w:val="24"/>
          <w:rtl w:val="0"/>
        </w:rPr>
        <w:t>â</w:t>
      </w:r>
      <w:r>
        <w:rPr>
          <w:sz w:val="24"/>
          <w:szCs w:val="24"/>
          <w:rtl w:val="0"/>
          <w:lang w:val="pt-PT"/>
        </w:rPr>
        <w:t>ncia de c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  <w:lang w:val="pt-PT"/>
        </w:rPr>
        <w:t>lulas parabasais (*) e intermedi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  <w:lang w:val="pt-PT"/>
        </w:rPr>
        <w:t>rias pequenas (seta), dispostas em agregados celulares; c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  <w:lang w:val="pt-PT"/>
        </w:rPr>
        <w:t>lulas superficiais presentes em menor propor</w:t>
      </w:r>
      <w:r>
        <w:rPr>
          <w:sz w:val="24"/>
          <w:szCs w:val="24"/>
          <w:rtl w:val="0"/>
          <w:lang w:val="pt-PT"/>
        </w:rPr>
        <w:t>çã</w:t>
      </w:r>
      <w:r>
        <w:rPr>
          <w:sz w:val="24"/>
          <w:szCs w:val="24"/>
          <w:rtl w:val="0"/>
          <w:lang w:val="pt-PT"/>
        </w:rPr>
        <w:t>o (x) (C) Citologia vaginal de f</w:t>
      </w:r>
      <w:r>
        <w:rPr>
          <w:sz w:val="24"/>
          <w:szCs w:val="24"/>
          <w:rtl w:val="0"/>
        </w:rPr>
        <w:t>ê</w:t>
      </w:r>
      <w:r>
        <w:rPr>
          <w:sz w:val="24"/>
          <w:szCs w:val="24"/>
          <w:rtl w:val="0"/>
          <w:lang w:val="pt-PT"/>
        </w:rPr>
        <w:t>mea jovem, com padr</w:t>
      </w:r>
      <w:r>
        <w:rPr>
          <w:sz w:val="24"/>
          <w:szCs w:val="24"/>
          <w:rtl w:val="0"/>
          <w:lang w:val="pt-PT"/>
        </w:rPr>
        <w:t>ã</w:t>
      </w:r>
      <w:r>
        <w:rPr>
          <w:sz w:val="24"/>
          <w:szCs w:val="24"/>
          <w:rtl w:val="0"/>
          <w:lang w:val="pt-PT"/>
        </w:rPr>
        <w:t>o semelhante ao de f</w:t>
      </w:r>
      <w:r>
        <w:rPr>
          <w:sz w:val="24"/>
          <w:szCs w:val="24"/>
          <w:rtl w:val="0"/>
        </w:rPr>
        <w:t>ê</w:t>
      </w:r>
      <w:r>
        <w:rPr>
          <w:sz w:val="24"/>
          <w:szCs w:val="24"/>
          <w:rtl w:val="0"/>
          <w:lang w:val="pt-PT"/>
        </w:rPr>
        <w:t>meas adultas.&gt;</w:t>
      </w:r>
      <w:r>
        <w:rPr>
          <w:b w:val="1"/>
          <w:bCs w:val="1"/>
          <w:sz w:val="24"/>
          <w:szCs w:val="24"/>
          <w:rtl w:val="0"/>
        </w:rPr>
        <w:t xml:space="preserve"> </w:t>
      </w:r>
    </w:p>
    <w:p>
      <w:pPr>
        <w:pStyle w:val="Corpo"/>
        <w:jc w:val="both"/>
      </w:pPr>
    </w:p>
    <w:p>
      <w:pPr>
        <w:pStyle w:val="Corpo"/>
        <w:jc w:val="both"/>
      </w:pPr>
      <w:r>
        <w:drawing xmlns:a="http://schemas.openxmlformats.org/drawingml/2006/main">
          <wp:inline distL="0" distT="0" distB="0" distR="0">
            <wp:extent cx="5731200" cy="1447800"/>
            <wp:effectExtent r="0" b="0" t="0" l="0"/>
            <wp:docPr descr="image1.png" name="officeArt object" id="10737418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image1.png" name="image1.png" id="1073741825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447800"/>
                    </a:xfrm>
                    <a:prstGeom prst="rect">
                      <a:avLst/>
                    </a:prstGeom>
                    <a:ln cap="flat" w="12700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sectPr>
      <w:headerReference r:id="rId5" w:type="default"/>
      <w:footerReference r:id="rId6" w:type="default"/>
      <w:pgSz w:w="11900" w:orient="portrait" w:h="16840"/>
      <w:pgMar w:bottom="1440" w:left="1440" w:footer="720" w:top="1440" w:right="1440" w:header="720"/>
      <w:pgNumType w:start="1"/>
      <w:bidi w:val="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date="2026-01-22T18:31:00Z" w:author="Eliana Reiko Matushima" w:id="0">
    <w:p w14:paraId="00000001" w14:textId="00000002">
      <w:pPr>
        <w:pStyle w:val="CommentText"/>
      </w:pPr>
      <w:r>
        <w:rPr>
          <w:rStyle w:val="CommentReference"/>
        </w:rPr>
        <w:annotationRef/>
      </w:r>
      <w:r>
        <w:t>Em itálico</w:t>
      </w:r>
    </w:p>
  </w:comment>
  <w:comment w:date="2026-01-22T18:30:52Z" w:author="Eliana Reiko Matushima" w:id="1">
    <w:p w14:paraId="00000003" w14:textId="00000004">
      <w:pPr>
        <w:pStyle w:val="CommentText"/>
      </w:pPr>
      <w:r>
        <w:rPr>
          <w:rStyle w:val="CommentReference"/>
        </w:rPr>
        <w:annotationRef/>
      </w:r>
      <w:r>
        <w:t>Em itálico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0000001"/>
  <w15:commentEx w15:paraId="00000003"/>
</w15:commentsEx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çalho e Rodapé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çalho e Rodapé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português" w:val="‘“(〔[{〈《「『【⦅〘〖«〝︵︷︹︻︽︿﹁﹃﹇﹙﹛﹝｢"/>
  <w:noLineBreaksBefore w:lang="portuguê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hAnsi="Times New Roman" w:cs="Times New Roman" w:eastAsia="Arial Unicode MS" w:ascii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vSpace="0" w:xAlign="left" w:hSpace="0" w:w="0" w:hRule="exact" w:y="0" w:h="0" w:vAnchor="margin" w:anchorLock="0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line="240" w:before="0" w:beforeAutospacing="0" w:after="0" w:lineRule="auto" w:afterAutospacing="0"/>
        <w:ind w:left="0" w:right="0" w:firstLine="0"/>
        <w:jc w:val="left"/>
        <w:outlineLvl w:val="9"/>
      </w:pPr>
    </w:pPrDefault>
  </w:docDefaults>
  <w:style w:default="1" w:styleId="Normal" w:type="paragraph">
    <w:name w:val="Normal"/>
    <w:next w:val="Normal"/>
    <w:pPr/>
    <w:rPr>
      <w:sz w:val="24"/>
      <w:szCs w:val="24"/>
      <w:lang w:bidi="ar-SA" w:val="en-US" w:eastAsia="en-US"/>
    </w:rPr>
  </w:style>
  <w:style w:default="1" w:styleId="Default Paragraph Font" w:type="character">
    <w:name w:val="Default Paragraph Font"/>
    <w:next w:val="Default Paragraph Font"/>
  </w:style>
  <w:style w:styleId="Hyperlink" w:type="character">
    <w:name w:val="Hyperlink"/>
    <w:rPr>
      <w:u w:val="single"/>
    </w:rPr>
  </w:style>
  <w:style w:default="1" w:styleId="Table Normal" w:type="table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default="1" w:styleId="No List" w:type="numbering">
    <w:name w:val="No List"/>
    <w:next w:val="No List"/>
    <w:pPr/>
  </w:style>
  <w:style w:styleId="Cabeçalho e Rodapé" w:type="paragraph">
    <w:name w:val="Cabeçalho e Rodapé"/>
    <w:next w:val="Cabeçalho e Rodapé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line="240" w:before="0" w:after="0" w:lineRule="auto"/>
      <w:ind w:left="0" w:right="0" w:firstLine="0"/>
      <w:jc w:val="left"/>
      <w:outlineLvl w:val="9"/>
    </w:pPr>
    <w:rPr>
      <w:rFonts w:hAnsi="Helvetica Neue" w:cs="Arial Unicode MS" w:eastAsia="Arial Unicode MS" w:ascii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styleId="heading 1" w:type="paragraph">
    <w:name w:val="heading 1"/>
    <w:next w:val="Corpo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line="276" w:before="400" w:after="120" w:lineRule="auto"/>
      <w:ind w:left="0" w:right="0" w:firstLine="0"/>
      <w:jc w:val="left"/>
      <w:outlineLvl w:val="0"/>
    </w:pPr>
    <w:rPr>
      <w:rFonts w:hAnsi="Arial" w:cs="Arial Unicode MS" w:eastAsia="Arial Unicode MS" w:ascii="Arial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40"/>
      <w:szCs w:val="40"/>
      <w:u w:val="none" w:color="000000"/>
      <w:shd w:val="nil" w:color="auto" w:fill="auto"/>
      <w:vertAlign w:val="baseline"/>
      <w:lang w:val="pt-PT"/>
      <w14:textFill>
        <w14:solidFill>
          <w14:srgbClr w14:val="000000"/>
        </w14:solidFill>
      </w14:textFill>
    </w:rPr>
  </w:style>
  <w:style w:styleId="Corpo" w:type="paragraph">
    <w:name w:val="Corpo"/>
    <w:next w:val="Co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line="276" w:before="0" w:after="0" w:lineRule="auto"/>
      <w:ind w:left="0" w:right="0" w:firstLine="0"/>
      <w:jc w:val="left"/>
      <w:outlineLvl w:val="9"/>
    </w:pPr>
    <w:rPr>
      <w:rFonts w:hAnsi="Arial" w:cs="Arial Unicode MS" w:eastAsia="Arial Unicode MS" w:ascii="Arial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styleId="CommentReference" w:type="character">
    <w:name w:val="annotation reference"/>
    <w:basedOn w:val="DefaultParagraphFont"/>
    <w:uiPriority w:val="99"/>
    <w:semiHidden/>
    <w:unhideWhenUsed/>
    <w:rPr>
      <w:sz w:val="16"/>
      <w:szCs w:val="16"/>
    </w:rPr>
  </w:style>
  <w:style w:styleId="CommentSubject" w:type="paragraph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styleId="CommentSubjectChar" w:customStyle="1" w:type="characte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styleId="CommentText" w:type="paragraph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styleId="CommentTextChar" w:customStyle="1" w:type="character">
    <w:name w:val="Comment Text Char"/>
    <w:basedOn w:val="DefaultParagraphFont"/>
    <w:link w:val="CommentText"/>
    <w:uiPriority w:val="99"/>
    <w:semiHidden/>
    <w:rPr>
      <w:sz w:val="20"/>
      <w:szCs w:val="20"/>
    </w:rPr>
  </w:style>
</w:styles>
</file>

<file path=word/_rels/document.xml.rels><?xml version="1.0" encoding="UTF-8" standalone="yes"?>
<Relationships xmlns="http://schemas.openxmlformats.org/package/2006/relationships"><Relationship Type="http://schemas.openxmlformats.org/officeDocument/2006/relationships/settings" Target="settings.xml" Id="rId1"></Relationship><Relationship Type="http://schemas.openxmlformats.org/officeDocument/2006/relationships/fontTable" Target="fontTable.xml" Id="rId2"></Relationship><Relationship Type="http://schemas.openxmlformats.org/officeDocument/2006/relationships/styles" Target="styles.xml" Id="rId3"></Relationship><Relationship Type="http://schemas.openxmlformats.org/officeDocument/2006/relationships/image" Target="media/image1.png" Id="rId4"></Relationship><Relationship Type="http://schemas.openxmlformats.org/officeDocument/2006/relationships/header" Target="header1.xml" Id="rId5"></Relationship><Relationship Type="http://schemas.openxmlformats.org/officeDocument/2006/relationships/footer" Target="footer1.xml" Id="rId6"></Relationship><Relationship Type="http://schemas.openxmlformats.org/officeDocument/2006/relationships/theme" Target="theme/theme1.xml" Id="rId7"></Relationship><Relationship Target="comments.xml" Type="http://schemas.openxmlformats.org/officeDocument/2006/relationships/comments" Id="rId8"></Relationship><Relationship Target="commentsExtended.xml" Type="http://schemas.microsoft.com/office/2011/relationships/commentsExtended" Id="rId9"></Relationship><Relationship Target="../customXML/item1.xml" Type="http://schemas.openxmlformats.org/officeDocument/2006/relationships/customXml" Id="rId10"></Relationship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customXML/_rels/item1.xml.rels><?xml version="1.0" encoding="UTF-8" standalone="yes"?>
<Relationships xmlns="http://schemas.openxmlformats.org/package/2006/relationships"><Relationship Target="itemProps1.xml" Type="http://schemas.openxmlformats.org/officeDocument/2006/relationships/customXmlProps" Id="rId1"></Relationship></Relationships>
</file>

<file path=customXML/item1.xml><?xml version="1.0" encoding="utf-8"?>
<go:gDocsCustomXmlDataStorage xmlns:r="http://schemas.openxmlformats.org/officeDocument/2006/relationships" xmlns:go="http://customooxmlschemas.google.com/" uri="GoogleDocsCustomDataVersion2">
  <go:docsCustomData xmlns:go="http://customooxmlschemas.google.com/" roundtripDataSignature="AMtx7mgEPltYue0qwPqHpeRS8n1bcmI79A==">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