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sz w:val="18"/>
          <w:szCs w:val="18"/>
          <w:rtl w:val="0"/>
        </w:rPr>
        <w:t xml:space="preserve">&lt;Título&gt;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INFLUÊNCIA DE VARIÁVEIS AMBIENTAIS DA CAATINGA SOBRE CARACTERÍSTICAS CINÉTICAS DE ESPERMATOZÓIDES DE </w:t>
      </w:r>
      <w:r w:rsidDel="00000000" w:rsidR="00000000" w:rsidRPr="00000000">
        <w:rPr>
          <w:b w:val="1"/>
          <w:i w:val="1"/>
          <w:rtl w:val="0"/>
        </w:rPr>
        <w:t xml:space="preserve">Galea spixii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&lt;Title&gt;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Influence of Caatinga environmental variables on kinetic characteristics of </w:t>
      </w:r>
      <w:r w:rsidDel="00000000" w:rsidR="00000000" w:rsidRPr="00000000">
        <w:rPr>
          <w:b w:val="1"/>
          <w:i w:val="1"/>
          <w:rtl w:val="0"/>
        </w:rPr>
        <w:t xml:space="preserve">Galea spixii </w:t>
      </w:r>
      <w:r w:rsidDel="00000000" w:rsidR="00000000" w:rsidRPr="00000000">
        <w:rPr>
          <w:b w:val="1"/>
          <w:rtl w:val="0"/>
        </w:rPr>
        <w:t xml:space="preserve">sperm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Isaac Lemuel Bezerra da Silva¹*, Gabriel Santos Costa Bezerra¹, Pedro Augusto Pinheiro Brito¹, ⁠Joana Letícia Cottin de Albuquerque¹, Luana Grasiele Pereira Bezerra¹, Romário Parente dos Santos¹, Alexandre Rodrigues Silva¹, Moacir Franco de Oliveira²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¹Laboratório de Conservação de Germoplasma Animal (LCGA) - UFERSA, Mossoró, RN, Brasil.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²Laboratório de Morfofisiologia Animal Aplicada (LABMORFA) - UFERSA, Mossoró, RN, Brasil.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*Email do autor correspondente: isaacsilva8710@gmail.com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Introdução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O preá (</w:t>
      </w:r>
      <w:r w:rsidDel="00000000" w:rsidR="00000000" w:rsidRPr="00000000">
        <w:rPr>
          <w:i w:val="1"/>
          <w:rtl w:val="0"/>
        </w:rPr>
        <w:t xml:space="preserve">Galea spixii</w:t>
      </w:r>
      <w:r w:rsidDel="00000000" w:rsidR="00000000" w:rsidRPr="00000000">
        <w:rPr>
          <w:rtl w:val="0"/>
        </w:rPr>
        <w:t xml:space="preserve">), roedor da família </w:t>
      </w:r>
      <w:r w:rsidDel="00000000" w:rsidR="00000000" w:rsidRPr="00000000">
        <w:rPr>
          <w:i w:val="1"/>
          <w:rtl w:val="0"/>
        </w:rPr>
        <w:t xml:space="preserve">Caviidae</w:t>
      </w:r>
      <w:r w:rsidDel="00000000" w:rsidR="00000000" w:rsidRPr="00000000">
        <w:rPr>
          <w:rtl w:val="0"/>
        </w:rPr>
        <w:t xml:space="preserve">, é comum no Brasil, especialmente na Caatinga. Porém, este bioma tem sido ameaçado por degradação, desmatamento e desertificação por ações antrópicas, tornando-o  vulnerável às mudanças climáticas e, desse modo, podendo afetar a sobrevivência das populações das espécies que ali habitam. Nesse sentido, objetivou-se verificar como as variáveis meteorológicas da Caatinga podem influenciar as características cinéticas de espermatozoides epididimários de </w:t>
      </w:r>
      <w:r w:rsidDel="00000000" w:rsidR="00000000" w:rsidRPr="00000000">
        <w:rPr>
          <w:i w:val="1"/>
          <w:rtl w:val="0"/>
        </w:rPr>
        <w:t xml:space="preserve">G. spixii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Material e Métodos: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Durante o período chuvoso, seis machos adultos oriundos de criatório científico foram contidos, anestesiados e eutanasiados (CEUA n° 33/2024; SISBIO n° 66618-5). O complexo testículo-epididimário foi recuperado, dissecado e submetido à técnica de lavagem retrógrada do epidídimo para recuperação dos espermatozoides¹. As amostras foram avaliadas por análise espermática auxiliada por computador (CASA) quanto aos parâmetros cinéticos: motilidade total e progressiva, velocidade média do trajeto (VAP), velocidade progressiva (VSL), velocidade curvilínea (VCL), amplitude do deslocamento lateral da cabeça (ALH), frequência do batimento cruzado (BCF), retilinearidade (STR), linearidade (LIN) e os parâmetros de movimentação rápida, média, lenta e estática. Os dados meteorológicos foram obtidos por meio de uma estação meteorológica local, considerando-se 1, 14 e 55 dias antes da coleta das amostras. Essas datas foram definidas com base na duração da maturação espermática e espermatogênese² em roedores filogeneticamente próximos aos preás³. Os dados foram expressos como média e erro padrão, e analisados pelo teste de correlação de Spearman que avaliou potenciais relações entre as variáveis ambientais e os parâmetros cinéticos espermáticos (P &lt; 0,05).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Resultados</w:t>
      </w:r>
      <w:r w:rsidDel="00000000" w:rsidR="00000000" w:rsidRPr="00000000">
        <w:rPr>
          <w:rtl w:val="0"/>
        </w:rPr>
        <w:t xml:space="preserve">: O CASA revelou que todos os animais apresentaram motilidade total acima de 70%, mas ressalta-se a variabilidade entre os animais, uma vez que o indivíduo A6 apresentou 26% de espermatozoides estáticos, bem como os menores valores para a maioria dos parâmetros cinéticos  (</w:t>
      </w:r>
      <w:r w:rsidDel="00000000" w:rsidR="00000000" w:rsidRPr="00000000">
        <w:rPr>
          <w:b w:val="1"/>
          <w:rtl w:val="0"/>
        </w:rPr>
        <w:t xml:space="preserve">Tabela 1</w:t>
      </w:r>
      <w:r w:rsidDel="00000000" w:rsidR="00000000" w:rsidRPr="00000000">
        <w:rPr>
          <w:rtl w:val="0"/>
        </w:rPr>
        <w:t xml:space="preserve">). Ademais, verificaram-se evidências de que temperatura e, principalmente, radiação solar influenciam os parâmetros cinéticos espermáticos de </w:t>
      </w:r>
      <w:r w:rsidDel="00000000" w:rsidR="00000000" w:rsidRPr="00000000">
        <w:rPr>
          <w:i w:val="1"/>
          <w:rtl w:val="0"/>
        </w:rPr>
        <w:t xml:space="preserve">G. spixii, </w:t>
      </w:r>
      <w:r w:rsidDel="00000000" w:rsidR="00000000" w:rsidRPr="00000000">
        <w:rPr>
          <w:rtl w:val="0"/>
        </w:rPr>
        <w:t xml:space="preserve">em especial, no decorrer dos 14 dias anteriores à coleta (</w:t>
      </w:r>
      <w:r w:rsidDel="00000000" w:rsidR="00000000" w:rsidRPr="00000000">
        <w:rPr>
          <w:b w:val="1"/>
          <w:rtl w:val="0"/>
        </w:rPr>
        <w:t xml:space="preserve">Tabela 2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rtl w:val="0"/>
        </w:rPr>
        <w:t xml:space="preserve">Discussão e Conclusão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Esses resultados indicam que o estresse térmico, mesmo durante o período chuvoso, pode comprometer a maturação espermática da espécie, impactando sua capacidade reprodutiva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. Assim, conclui-se que as variáveis ambientais, em especial a temperatura e a radiação solar, correlacionam-se com os parâmetros cinéticos espermáticos de preás da Caatinga. Uma vez que existem previsões de que a Caatinga deva sofrer um aumento gradativo de temperatura nos próximos anos, os dados aqui gerados trazem um alerta para o efeito dessas mudanças climáticas no padrão reprodutivo não apenas dos preás, mas de toda a vida selvagem.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Referencias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1)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SILVA, AM </w:t>
      </w:r>
      <w:r w:rsidDel="00000000" w:rsidR="00000000" w:rsidRPr="00000000">
        <w:rPr>
          <w:i w:val="1"/>
          <w:rtl w:val="0"/>
        </w:rPr>
        <w:t xml:space="preserve">et al</w:t>
      </w:r>
      <w:r w:rsidDel="00000000" w:rsidR="00000000" w:rsidRPr="00000000">
        <w:rPr>
          <w:rtl w:val="0"/>
        </w:rPr>
        <w:t xml:space="preserve">. Characterization of epididymal sperm from Spix's yellow‐toothed cavies (</w:t>
      </w:r>
      <w:r w:rsidDel="00000000" w:rsidR="00000000" w:rsidRPr="00000000">
        <w:rPr>
          <w:i w:val="1"/>
          <w:rtl w:val="0"/>
        </w:rPr>
        <w:t xml:space="preserve">Galea spixii</w:t>
      </w:r>
      <w:r w:rsidDel="00000000" w:rsidR="00000000" w:rsidRPr="00000000">
        <w:rPr>
          <w:rtl w:val="0"/>
        </w:rPr>
        <w:t xml:space="preserve"> Wagler, 1831) recovered by different methods. Acta Zoologica, v. 98, n. 3, p. 285-291, 2017. </w:t>
      </w:r>
      <w:r w:rsidDel="00000000" w:rsidR="00000000" w:rsidRPr="00000000">
        <w:rPr>
          <w:b w:val="1"/>
          <w:rtl w:val="0"/>
        </w:rPr>
        <w:t xml:space="preserve">2)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ABDEL-RAHMAN, EH. The effects of Mentha crispa on the spermatogenesis of wild rats (</w:t>
      </w:r>
      <w:r w:rsidDel="00000000" w:rsidR="00000000" w:rsidRPr="00000000">
        <w:rPr>
          <w:i w:val="1"/>
          <w:rtl w:val="0"/>
        </w:rPr>
        <w:t xml:space="preserve">Rattus norvegicus</w:t>
      </w:r>
      <w:r w:rsidDel="00000000" w:rsidR="00000000" w:rsidRPr="00000000">
        <w:rPr>
          <w:rtl w:val="0"/>
        </w:rPr>
        <w:t xml:space="preserve">) from Sudan. Int J Biol Res, v. 2, p. 16-19, 2017. </w:t>
      </w:r>
      <w:r w:rsidDel="00000000" w:rsidR="00000000" w:rsidRPr="00000000">
        <w:rPr>
          <w:b w:val="1"/>
          <w:rtl w:val="0"/>
        </w:rPr>
        <w:t xml:space="preserve">3) </w:t>
      </w:r>
      <w:r w:rsidDel="00000000" w:rsidR="00000000" w:rsidRPr="00000000">
        <w:rPr>
          <w:rtl w:val="0"/>
        </w:rPr>
        <w:t xml:space="preserve">BRINSTER, RL.; ZIMMERMANN, JW. Spermatogenesis following male germcell transplantation. Proceedings of the National Academy of Sciences, v. 91, n. 24, p. 11298-11302, 1994. </w:t>
      </w:r>
      <w:r w:rsidDel="00000000" w:rsidR="00000000" w:rsidRPr="00000000">
        <w:rPr>
          <w:b w:val="1"/>
          <w:rtl w:val="0"/>
        </w:rPr>
        <w:t xml:space="preserve">4) </w:t>
      </w:r>
      <w:r w:rsidDel="00000000" w:rsidR="00000000" w:rsidRPr="00000000">
        <w:rPr>
          <w:sz w:val="24"/>
          <w:szCs w:val="24"/>
          <w:rtl w:val="0"/>
        </w:rPr>
        <w:t xml:space="preserve">MOHAMED, SS; ABDELATIF, AM; ADAM, AAG. Effects of Exposure to Solar Radiation on Thermoregulation and Semen Characteristics of Sudanese Desert Rams (Ovisaries). Global Vet, v. 9, p. 502-507,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Palavras-chave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Caviidae</w:t>
      </w:r>
      <w:r w:rsidDel="00000000" w:rsidR="00000000" w:rsidRPr="00000000">
        <w:rPr>
          <w:rtl w:val="0"/>
        </w:rPr>
        <w:t xml:space="preserve">; conservação; semiárido.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Keywords: </w:t>
      </w:r>
      <w:r w:rsidDel="00000000" w:rsidR="00000000" w:rsidRPr="00000000">
        <w:rPr>
          <w:i w:val="1"/>
          <w:rtl w:val="0"/>
        </w:rPr>
        <w:t xml:space="preserve">Caviidae</w:t>
      </w:r>
      <w:r w:rsidDel="00000000" w:rsidR="00000000" w:rsidRPr="00000000">
        <w:rPr>
          <w:rtl w:val="0"/>
        </w:rPr>
        <w:t xml:space="preserve">; conservation; semi-arid.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Autorizações: </w:t>
      </w:r>
      <w:r w:rsidDel="00000000" w:rsidR="00000000" w:rsidRPr="00000000">
        <w:rPr>
          <w:rtl w:val="0"/>
        </w:rPr>
        <w:t xml:space="preserve">CEUA nº 33/2024 / SISBio nº 66618-5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Agências Financiadoras</w:t>
      </w:r>
      <w:r w:rsidDel="00000000" w:rsidR="00000000" w:rsidRPr="00000000">
        <w:rPr>
          <w:rtl w:val="0"/>
        </w:rPr>
        <w:t xml:space="preserve">: -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Tabela 1: </w:t>
      </w:r>
      <w:r w:rsidDel="00000000" w:rsidR="00000000" w:rsidRPr="00000000">
        <w:rPr>
          <w:sz w:val="18"/>
          <w:szCs w:val="18"/>
          <w:rtl w:val="0"/>
        </w:rPr>
        <w:t xml:space="preserve">&lt;Legenda&gt;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Média (± EP) dos parâmetros cinéticos dos espermatozoides recuperados do epidídimo de preás (</w:t>
      </w:r>
      <w:r w:rsidDel="00000000" w:rsidR="00000000" w:rsidRPr="00000000">
        <w:rPr>
          <w:i w:val="1"/>
          <w:rtl w:val="0"/>
        </w:rPr>
        <w:t xml:space="preserve">Galea spixii</w:t>
      </w:r>
      <w:r w:rsidDel="00000000" w:rsidR="00000000" w:rsidRPr="00000000">
        <w:rPr>
          <w:rtl w:val="0"/>
        </w:rPr>
        <w:t xml:space="preserve">; n = 6) analisados por sistema de análise espermática auxiliado por computador (CASA). </w:t>
      </w:r>
    </w:p>
    <w:tbl>
      <w:tblPr>
        <w:tblStyle w:val="Table1"/>
        <w:tblW w:w="10726.000000000002" w:type="dxa"/>
        <w:jc w:val="center"/>
        <w:tblLayout w:type="fixed"/>
        <w:tblLook w:val="0000"/>
      </w:tblPr>
      <w:tblGrid>
        <w:gridCol w:w="3175"/>
        <w:gridCol w:w="922"/>
        <w:gridCol w:w="933"/>
        <w:gridCol w:w="927"/>
        <w:gridCol w:w="907"/>
        <w:gridCol w:w="915"/>
        <w:gridCol w:w="540"/>
        <w:gridCol w:w="367"/>
        <w:gridCol w:w="2040"/>
        <w:tblGridChange w:id="0">
          <w:tblGrid>
            <w:gridCol w:w="3175"/>
            <w:gridCol w:w="922"/>
            <w:gridCol w:w="933"/>
            <w:gridCol w:w="927"/>
            <w:gridCol w:w="907"/>
            <w:gridCol w:w="915"/>
            <w:gridCol w:w="540"/>
            <w:gridCol w:w="367"/>
            <w:gridCol w:w="204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before="162" w:line="240" w:lineRule="auto"/>
              <w:ind w:left="122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Parâmetros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before="162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before="162" w:line="240" w:lineRule="auto"/>
              <w:ind w:right="16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before="162" w:line="240" w:lineRule="auto"/>
              <w:ind w:right="16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before="162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before="162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A5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before="162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A6</w:t>
            </w:r>
          </w:p>
        </w:tc>
        <w:tc>
          <w:tcPr>
            <w:tcBorders>
              <w:top w:color="000000" w:space="0" w:sz="12" w:val="single"/>
              <w:bottom w:color="7e7e7e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before="162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Média </w:t>
            </w:r>
            <w:r w:rsidDel="00000000" w:rsidR="00000000" w:rsidRPr="00000000">
              <w:rPr>
                <w:rtl w:val="0"/>
              </w:rPr>
              <w:t xml:space="preserve">(± EP)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5" w:lineRule="auto"/>
              <w:ind w:left="122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Motilidade total </w:t>
              <w:br w:type="textWrapping"/>
            </w:r>
            <w:r w:rsidDel="00000000" w:rsidR="00000000" w:rsidRPr="00000000">
              <w:rPr>
                <w:rtl w:val="0"/>
              </w:rPr>
              <w:t xml:space="preserve">(%)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5" w:lineRule="auto"/>
              <w:ind w:left="120" w:right="110" w:firstLine="0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5" w:lineRule="auto"/>
              <w:ind w:left="55" w:right="8" w:firstLine="0"/>
              <w:rPr/>
            </w:pPr>
            <w:r w:rsidDel="00000000" w:rsidR="00000000" w:rsidRPr="00000000">
              <w:rPr>
                <w:rtl w:val="0"/>
              </w:rPr>
              <w:t xml:space="preserve">95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5" w:lineRule="auto"/>
              <w:ind w:left="176" w:right="89" w:firstLine="0"/>
              <w:rPr/>
            </w:pPr>
            <w:r w:rsidDel="00000000" w:rsidR="00000000" w:rsidRPr="00000000">
              <w:rPr>
                <w:rtl w:val="0"/>
              </w:rPr>
              <w:t xml:space="preserve">95</w:t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88 ± 3,61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5" w:lineRule="auto"/>
              <w:ind w:left="122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Motilidade progressiva</w:t>
              <w:br w:type="textWrapping"/>
            </w:r>
            <w:r w:rsidDel="00000000" w:rsidR="00000000" w:rsidRPr="00000000">
              <w:rPr>
                <w:rtl w:val="0"/>
              </w:rPr>
              <w:t xml:space="preserve">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5" w:lineRule="auto"/>
              <w:ind w:left="120" w:right="110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5" w:lineRule="auto"/>
              <w:ind w:left="55" w:right="8" w:firstLine="0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5" w:lineRule="auto"/>
              <w:ind w:left="176" w:right="89" w:firstLine="0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15,33 ± 2,49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5" w:lineRule="auto"/>
              <w:ind w:left="12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Velocidade média do trajeto </w:t>
              <w:br w:type="textWrapping"/>
            </w:r>
            <w:r w:rsidDel="00000000" w:rsidR="00000000" w:rsidRPr="00000000">
              <w:rPr>
                <w:rtl w:val="0"/>
              </w:rPr>
              <w:t xml:space="preserve">(VAP;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µm/s)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136,3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5" w:lineRule="auto"/>
              <w:ind w:left="120" w:right="110" w:firstLine="0"/>
              <w:rPr/>
            </w:pPr>
            <w:r w:rsidDel="00000000" w:rsidR="00000000" w:rsidRPr="00000000">
              <w:rPr>
                <w:rtl w:val="0"/>
              </w:rPr>
              <w:t xml:space="preserve">108,5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145,5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5" w:lineRule="auto"/>
              <w:ind w:left="55" w:right="8" w:firstLine="0"/>
              <w:rPr/>
            </w:pPr>
            <w:r w:rsidDel="00000000" w:rsidR="00000000" w:rsidRPr="00000000">
              <w:rPr>
                <w:rtl w:val="0"/>
              </w:rPr>
              <w:t xml:space="preserve">101,6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5" w:lineRule="auto"/>
              <w:ind w:left="176" w:right="89" w:firstLine="0"/>
              <w:rPr/>
            </w:pPr>
            <w:r w:rsidDel="00000000" w:rsidR="00000000" w:rsidRPr="00000000">
              <w:rPr>
                <w:rtl w:val="0"/>
              </w:rPr>
              <w:t xml:space="preserve">168,2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85,3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124,23 ± 12,66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5" w:lineRule="auto"/>
              <w:ind w:left="12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Velocidade progressiva </w:t>
              <w:br w:type="textWrapping"/>
            </w:r>
            <w:r w:rsidDel="00000000" w:rsidR="00000000" w:rsidRPr="00000000">
              <w:rPr>
                <w:rtl w:val="0"/>
              </w:rPr>
              <w:t xml:space="preserve">(VSL; µm/s)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72,2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5" w:lineRule="auto"/>
              <w:ind w:left="120" w:right="110" w:firstLine="0"/>
              <w:rPr/>
            </w:pPr>
            <w:r w:rsidDel="00000000" w:rsidR="00000000" w:rsidRPr="00000000">
              <w:rPr>
                <w:rtl w:val="0"/>
              </w:rPr>
              <w:t xml:space="preserve">44,2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71,9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5" w:lineRule="auto"/>
              <w:ind w:left="55" w:right="8" w:firstLine="0"/>
              <w:rPr/>
            </w:pPr>
            <w:r w:rsidDel="00000000" w:rsidR="00000000" w:rsidRPr="00000000">
              <w:rPr>
                <w:rtl w:val="0"/>
              </w:rPr>
              <w:t xml:space="preserve">57,8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5" w:lineRule="auto"/>
              <w:ind w:left="176" w:right="89" w:firstLine="0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39,1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61,37 ± 7,07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5" w:lineRule="auto"/>
              <w:ind w:left="12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Velocidade curvilínea </w:t>
              <w:br w:type="textWrapping"/>
            </w:r>
            <w:r w:rsidDel="00000000" w:rsidR="00000000" w:rsidRPr="00000000">
              <w:rPr>
                <w:rtl w:val="0"/>
              </w:rPr>
              <w:t xml:space="preserve">(VCL; µm/s)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247,3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5" w:lineRule="auto"/>
              <w:ind w:left="120" w:right="169" w:firstLine="0"/>
              <w:rPr/>
            </w:pPr>
            <w:r w:rsidDel="00000000" w:rsidR="00000000" w:rsidRPr="00000000">
              <w:rPr>
                <w:rtl w:val="0"/>
              </w:rPr>
              <w:t xml:space="preserve">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280,6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5" w:lineRule="auto"/>
              <w:ind w:left="55" w:firstLine="0"/>
              <w:rPr/>
            </w:pPr>
            <w:r w:rsidDel="00000000" w:rsidR="00000000" w:rsidRPr="00000000">
              <w:rPr>
                <w:rtl w:val="0"/>
              </w:rPr>
              <w:t xml:space="preserve">197,2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5" w:lineRule="auto"/>
              <w:ind w:left="176" w:firstLine="0"/>
              <w:rPr/>
            </w:pPr>
            <w:r w:rsidDel="00000000" w:rsidR="00000000" w:rsidRPr="00000000">
              <w:rPr>
                <w:rtl w:val="0"/>
              </w:rPr>
              <w:t xml:space="preserve">280,9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161,4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226,4 ± 20,55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5" w:lineRule="auto"/>
              <w:ind w:left="12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Amplitude do des. lateral da cabeça</w:t>
              <w:br w:type="textWrapping"/>
            </w:r>
            <w:r w:rsidDel="00000000" w:rsidR="00000000" w:rsidRPr="00000000">
              <w:rPr>
                <w:rtl w:val="0"/>
              </w:rPr>
              <w:t xml:space="preserve">(ALH; µm)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9,5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5" w:lineRule="auto"/>
              <w:ind w:left="120" w:right="169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5" w:lineRule="auto"/>
              <w:ind w:left="55" w:firstLine="0"/>
              <w:rPr/>
            </w:pPr>
            <w:r w:rsidDel="00000000" w:rsidR="00000000" w:rsidRPr="00000000">
              <w:rPr>
                <w:rtl w:val="0"/>
              </w:rPr>
              <w:t xml:space="preserve">9,3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5" w:lineRule="auto"/>
              <w:ind w:left="176" w:firstLine="0"/>
              <w:rPr/>
            </w:pPr>
            <w:r w:rsidDel="00000000" w:rsidR="00000000" w:rsidRPr="00000000">
              <w:rPr>
                <w:rtl w:val="0"/>
              </w:rPr>
              <w:t xml:space="preserve">11,4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8,1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9,72 ± 0,51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5" w:lineRule="auto"/>
              <w:ind w:left="122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Frequência de batimento cruzado</w:t>
              <w:br w:type="textWrapping"/>
            </w:r>
            <w:r w:rsidDel="00000000" w:rsidR="00000000" w:rsidRPr="00000000">
              <w:rPr>
                <w:rtl w:val="0"/>
              </w:rPr>
              <w:t xml:space="preserve">(BCF; Hz)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28,1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5" w:lineRule="auto"/>
              <w:ind w:left="120" w:right="169" w:firstLine="0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21,7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5" w:lineRule="auto"/>
              <w:ind w:left="55" w:firstLine="0"/>
              <w:rPr/>
            </w:pPr>
            <w:r w:rsidDel="00000000" w:rsidR="00000000" w:rsidRPr="00000000">
              <w:rPr>
                <w:rtl w:val="0"/>
              </w:rPr>
              <w:t xml:space="preserve">21,1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5" w:lineRule="auto"/>
              <w:ind w:left="176" w:firstLine="0"/>
              <w:rPr/>
            </w:pPr>
            <w:r w:rsidDel="00000000" w:rsidR="00000000" w:rsidRPr="00000000">
              <w:rPr>
                <w:rtl w:val="0"/>
              </w:rPr>
              <w:t xml:space="preserve">18,4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30,7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24,83 ± 2,06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5" w:lineRule="auto"/>
              <w:ind w:left="12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Retilinearidade </w:t>
              <w:br w:type="textWrapping"/>
            </w:r>
            <w:r w:rsidDel="00000000" w:rsidR="00000000" w:rsidRPr="00000000">
              <w:rPr>
                <w:rtl w:val="0"/>
              </w:rPr>
              <w:t xml:space="preserve">(STR; 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5" w:lineRule="auto"/>
              <w:ind w:left="120" w:right="169" w:firstLine="0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5" w:lineRule="auto"/>
              <w:ind w:left="55" w:firstLine="0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5" w:lineRule="auto"/>
              <w:ind w:left="176" w:firstLine="0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46,17 ± 2,12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5" w:lineRule="auto"/>
              <w:ind w:left="122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Linearidade</w:t>
              <w:br w:type="textWrapping"/>
            </w:r>
            <w:r w:rsidDel="00000000" w:rsidR="00000000" w:rsidRPr="00000000">
              <w:rPr>
                <w:rtl w:val="0"/>
              </w:rPr>
              <w:t xml:space="preserve">(LIN; 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5" w:lineRule="auto"/>
              <w:ind w:left="120" w:right="169" w:firstLine="0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5" w:lineRule="auto"/>
              <w:ind w:left="55" w:firstLine="0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5" w:lineRule="auto"/>
              <w:ind w:left="176" w:firstLine="0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26 ± 1,21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5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Subpopulações espermáticas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5" w:lineRule="auto"/>
              <w:ind w:left="351" w:firstLine="0"/>
              <w:rPr/>
            </w:pPr>
            <w:r w:rsidDel="00000000" w:rsidR="00000000" w:rsidRPr="00000000">
              <w:rPr>
                <w:rtl w:val="0"/>
              </w:rPr>
              <w:t xml:space="preserve">Movimentação rápida</w:t>
              <w:br w:type="textWrapping"/>
              <w:t xml:space="preserve">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5" w:lineRule="auto"/>
              <w:ind w:left="120" w:right="169" w:firstLine="0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5" w:lineRule="auto"/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5" w:lineRule="auto"/>
              <w:ind w:left="176" w:firstLine="0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75 ± 6,87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5" w:lineRule="auto"/>
              <w:ind w:left="351" w:firstLine="0"/>
              <w:rPr/>
            </w:pPr>
            <w:r w:rsidDel="00000000" w:rsidR="00000000" w:rsidRPr="00000000">
              <w:rPr>
                <w:rtl w:val="0"/>
              </w:rPr>
              <w:t xml:space="preserve">Movimentação média</w:t>
              <w:br w:type="textWrapping"/>
              <w:t xml:space="preserve">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5" w:lineRule="auto"/>
              <w:ind w:left="120" w:right="169" w:firstLine="0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5" w:lineRule="auto"/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5" w:lineRule="auto"/>
              <w:ind w:left="176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13,17 ± 3,36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5" w:lineRule="auto"/>
              <w:ind w:left="351" w:firstLine="0"/>
              <w:rPr/>
            </w:pPr>
            <w:r w:rsidDel="00000000" w:rsidR="00000000" w:rsidRPr="00000000">
              <w:rPr>
                <w:rtl w:val="0"/>
              </w:rPr>
              <w:t xml:space="preserve">Movimentação lenta</w:t>
              <w:br w:type="textWrapping"/>
              <w:t xml:space="preserve">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5" w:lineRule="auto"/>
              <w:ind w:left="120" w:right="169" w:firstLine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5" w:lineRule="auto"/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5" w:lineRule="auto"/>
              <w:ind w:left="176" w:firstLine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5" w:lineRule="auto"/>
              <w:ind w:left="351" w:firstLine="0"/>
              <w:rPr/>
            </w:pPr>
            <w:r w:rsidDel="00000000" w:rsidR="00000000" w:rsidRPr="00000000">
              <w:rPr>
                <w:rtl w:val="0"/>
              </w:rPr>
              <w:t xml:space="preserve">Movimentação estática</w:t>
              <w:br w:type="textWrapping"/>
              <w:t xml:space="preserve">(%)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5" w:lineRule="auto"/>
              <w:ind w:left="185" w:firstLine="0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5" w:lineRule="auto"/>
              <w:ind w:left="120" w:right="169" w:firstLine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5" w:lineRule="auto"/>
              <w:ind w:left="123" w:right="169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5" w:lineRule="auto"/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5" w:lineRule="auto"/>
              <w:ind w:left="241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5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5" w:lineRule="auto"/>
              <w:ind w:left="371" w:firstLine="0"/>
              <w:rPr/>
            </w:pPr>
            <w:r w:rsidDel="00000000" w:rsidR="00000000" w:rsidRPr="00000000">
              <w:rPr>
                <w:rtl w:val="0"/>
              </w:rPr>
              <w:t xml:space="preserve">11,83 ± 3,68</w:t>
            </w:r>
          </w:p>
        </w:tc>
      </w:tr>
    </w:tbl>
    <w:p w:rsidR="00000000" w:rsidDel="00000000" w:rsidP="00000000" w:rsidRDefault="00000000" w:rsidRPr="00000000" w14:paraId="000000A0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Tabela 2: </w:t>
      </w:r>
      <w:r w:rsidDel="00000000" w:rsidR="00000000" w:rsidRPr="00000000">
        <w:rPr>
          <w:sz w:val="18"/>
          <w:szCs w:val="18"/>
          <w:rtl w:val="0"/>
        </w:rPr>
        <w:t xml:space="preserve">&lt;Legenda&gt;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Associações significativas (</w:t>
      </w:r>
      <w:r w:rsidDel="00000000" w:rsidR="00000000" w:rsidRPr="00000000">
        <w:rPr>
          <w:i w:val="1"/>
          <w:rtl w:val="0"/>
        </w:rPr>
        <w:t xml:space="preserve">P</w:t>
      </w:r>
      <w:r w:rsidDel="00000000" w:rsidR="00000000" w:rsidRPr="00000000">
        <w:rPr>
          <w:rtl w:val="0"/>
        </w:rPr>
        <w:t xml:space="preserve"> &lt; 0,05) entre as variáveis ambientais e os parâmetros cinéticos das células espermáticas recuperadas do epidídimo de preás (</w:t>
      </w:r>
      <w:r w:rsidDel="00000000" w:rsidR="00000000" w:rsidRPr="00000000">
        <w:rPr>
          <w:i w:val="1"/>
          <w:rtl w:val="0"/>
        </w:rPr>
        <w:t xml:space="preserve">Galea spixii</w:t>
      </w:r>
      <w:r w:rsidDel="00000000" w:rsidR="00000000" w:rsidRPr="00000000">
        <w:rPr>
          <w:rtl w:val="0"/>
        </w:rPr>
        <w:t xml:space="preserve">; n = 6), considerando dados ambientais de 1 dia, 14 dias e 55 dias antes da recuperação dos espermatozoides epididimários.</w:t>
      </w:r>
    </w:p>
    <w:sdt>
      <w:sdtPr>
        <w:lock w:val="contentLocked"/>
        <w:id w:val="1433767801"/>
        <w:tag w:val="goog_rdk_0"/>
      </w:sdtPr>
      <w:sdtContent>
        <w:tbl>
          <w:tblPr>
            <w:tblStyle w:val="Table2"/>
            <w:tblW w:w="8494.0" w:type="dxa"/>
            <w:jc w:val="center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1698"/>
            <w:gridCol w:w="1699"/>
            <w:gridCol w:w="1699"/>
            <w:gridCol w:w="1699"/>
            <w:gridCol w:w="1699"/>
            <w:tblGridChange w:id="0">
              <w:tblGrid>
                <w:gridCol w:w="1698"/>
                <w:gridCol w:w="1699"/>
                <w:gridCol w:w="1699"/>
                <w:gridCol w:w="1699"/>
                <w:gridCol w:w="169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A3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Variáveis ambientais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12" w:val="single"/>
                  <w:bottom w:color="000000" w:space="0" w:sz="12" w:val="single"/>
                </w:tcBorders>
                <w:tcMar>
                  <w:top w:w="113.0" w:type="dxa"/>
                  <w:left w:w="113.0" w:type="dxa"/>
                  <w:bottom w:w="113.0" w:type="dxa"/>
                  <w:right w:w="113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Parâmetros cinéticos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A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Motilidade progressiva</w:t>
                </w:r>
              </w:p>
            </w:tc>
            <w:tc>
              <w:tcPr>
                <w:tcBorders>
                  <w:top w:color="000000" w:space="0" w:sz="12" w:val="single"/>
                  <w:bottom w:color="000000" w:space="0" w:sz="12" w:val="single"/>
                </w:tcBorders>
                <w:tcMar>
                  <w:top w:w="283.0" w:type="dxa"/>
                  <w:left w:w="283.0" w:type="dxa"/>
                  <w:bottom w:w="283.0" w:type="dxa"/>
                  <w:right w:w="283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VSL</w:t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A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BCF</w:t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A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LIN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</w:tcBorders>
                <w:tcMar>
                  <w:top w:w="56.0" w:type="dxa"/>
                  <w:left w:w="56.0" w:type="dxa"/>
                  <w:bottom w:w="56.0" w:type="dxa"/>
                  <w:right w:w="56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14 dias antes</w:t>
                </w:r>
              </w:p>
              <w:p w:rsidR="00000000" w:rsidDel="00000000" w:rsidP="00000000" w:rsidRDefault="00000000" w:rsidRPr="00000000" w14:paraId="000000AE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A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B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B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B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Temperatura média</w:t>
                </w:r>
              </w:p>
              <w:p w:rsidR="00000000" w:rsidDel="00000000" w:rsidP="00000000" w:rsidRDefault="00000000" w:rsidRPr="00000000" w14:paraId="000000B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n.s.</w:t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ρ = 0,89</w:t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n.s.</w:t>
                </w:r>
              </w:p>
            </w:tc>
            <w:tc>
              <w:tcPr/>
              <w:p w:rsidR="00000000" w:rsidDel="00000000" w:rsidP="00000000" w:rsidRDefault="00000000" w:rsidRPr="00000000" w14:paraId="000000B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n.s.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Radiação solar</w:t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ρ = 0,87</w:t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n.s.</w:t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ρ = -0,94</w:t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ρ = 0,93</w:t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spacing w:before="120" w:line="240" w:lineRule="auto"/>
        <w:jc w:val="both"/>
        <w:rPr/>
      </w:pPr>
      <w:r w:rsidDel="00000000" w:rsidR="00000000" w:rsidRPr="00000000">
        <w:rPr>
          <w:rtl w:val="0"/>
        </w:rPr>
        <w:t xml:space="preserve">VSL: Velocidade progressiva; BCF: Frequência de batimento cruzado; LIN: Linearidade. </w:t>
      </w:r>
    </w:p>
    <w:p w:rsidR="00000000" w:rsidDel="00000000" w:rsidP="00000000" w:rsidRDefault="00000000" w:rsidRPr="00000000" w14:paraId="000000B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n.s.= não</w:t>
      </w:r>
      <w:r w:rsidDel="00000000" w:rsidR="00000000" w:rsidRPr="00000000">
        <w:rPr>
          <w:rtl w:val="0"/>
        </w:rPr>
        <w:t xml:space="preserve"> significativo.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700" w:top="1134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k9iWSXs+XeUd6JlvmMjl62KXA==">CgMxLjAaHwoBMBIaChgICVIUChJ0YWJsZS41Z2t4OTlqN3Z5dHU4AHIhMTlubU1WY01SbHVyQWRHYjYzcWhYcVpWejFxdkFyWlMw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2025-08-31T16:10:00Z</dcterms:created>
  <dc:creator>Tânia de Freitas Raso</dc:creator>
</cp:coreProperties>
</file>